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374E9E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374E9E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374E9E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CB5D33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приняты</w:t>
            </w:r>
            <w:r w:rsidR="000C35E5">
              <w:rPr>
                <w:sz w:val="24"/>
                <w:szCs w:val="24"/>
              </w:rPr>
              <w:t xml:space="preserve"> </w:t>
            </w:r>
            <w:r w:rsidR="006B278E">
              <w:rPr>
                <w:sz w:val="24"/>
                <w:szCs w:val="24"/>
              </w:rPr>
              <w:t>единогласно</w:t>
            </w:r>
            <w:r w:rsidR="000C35E5" w:rsidRPr="001E6321">
              <w:rPr>
                <w:sz w:val="24"/>
                <w:szCs w:val="24"/>
              </w:rPr>
              <w:t>.</w:t>
            </w:r>
          </w:p>
          <w:p w:rsidR="00CB5D33" w:rsidRDefault="000C35E5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374E9E" w:rsidRDefault="00374E9E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B90D69">
              <w:rPr>
                <w:snapToGrid w:val="0"/>
                <w:color w:val="000000"/>
                <w:sz w:val="24"/>
                <w:szCs w:val="24"/>
              </w:rPr>
              <w:t xml:space="preserve">Утвердить </w:t>
            </w:r>
            <w:r w:rsidRPr="00B90D69">
              <w:rPr>
                <w:sz w:val="24"/>
                <w:szCs w:val="24"/>
              </w:rPr>
              <w:t>Стандарт качества обслуживания потребителей электрической энергии гарантирующим поставщиком ПАО «Волгоградэнергосбыт»</w:t>
            </w:r>
            <w:r>
              <w:rPr>
                <w:sz w:val="24"/>
                <w:szCs w:val="24"/>
              </w:rPr>
              <w:t>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374E9E">
              <w:rPr>
                <w:sz w:val="24"/>
                <w:szCs w:val="24"/>
              </w:rPr>
              <w:t>29 янва</w:t>
            </w:r>
            <w:r w:rsidR="006B42FB">
              <w:rPr>
                <w:sz w:val="24"/>
                <w:szCs w:val="24"/>
              </w:rPr>
              <w:t>ря</w:t>
            </w:r>
            <w:r w:rsidR="00374E9E">
              <w:rPr>
                <w:sz w:val="24"/>
                <w:szCs w:val="24"/>
              </w:rPr>
              <w:t xml:space="preserve"> 2026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374E9E">
              <w:rPr>
                <w:sz w:val="24"/>
                <w:szCs w:val="24"/>
              </w:rPr>
              <w:t>ения протокола 29.01.2026, №376</w:t>
            </w:r>
            <w:r w:rsidR="006B278E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6B42F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4E9E"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74E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6B42FB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374E9E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6652F"/>
    <w:rsid w:val="002E5187"/>
    <w:rsid w:val="0030024D"/>
    <w:rsid w:val="00374E9E"/>
    <w:rsid w:val="004A463F"/>
    <w:rsid w:val="004C5A57"/>
    <w:rsid w:val="00522ED7"/>
    <w:rsid w:val="0053182B"/>
    <w:rsid w:val="005648ED"/>
    <w:rsid w:val="00657C4E"/>
    <w:rsid w:val="006B278E"/>
    <w:rsid w:val="006B42FB"/>
    <w:rsid w:val="007047CF"/>
    <w:rsid w:val="007272F0"/>
    <w:rsid w:val="007303B2"/>
    <w:rsid w:val="00763A8F"/>
    <w:rsid w:val="009519B6"/>
    <w:rsid w:val="00974085"/>
    <w:rsid w:val="00994C4C"/>
    <w:rsid w:val="009B11DE"/>
    <w:rsid w:val="009E56F5"/>
    <w:rsid w:val="009F0150"/>
    <w:rsid w:val="00A02E37"/>
    <w:rsid w:val="00A73281"/>
    <w:rsid w:val="00A949EA"/>
    <w:rsid w:val="00AC768B"/>
    <w:rsid w:val="00AD1148"/>
    <w:rsid w:val="00AE20FA"/>
    <w:rsid w:val="00B053DA"/>
    <w:rsid w:val="00B23577"/>
    <w:rsid w:val="00B66943"/>
    <w:rsid w:val="00BF2A89"/>
    <w:rsid w:val="00CB5D33"/>
    <w:rsid w:val="00CE6362"/>
    <w:rsid w:val="00CF110B"/>
    <w:rsid w:val="00D10CB2"/>
    <w:rsid w:val="00D1279C"/>
    <w:rsid w:val="00D17DC5"/>
    <w:rsid w:val="00D23122"/>
    <w:rsid w:val="00D7649F"/>
    <w:rsid w:val="00DB3533"/>
    <w:rsid w:val="00E1651A"/>
    <w:rsid w:val="00E46F53"/>
    <w:rsid w:val="00E54E5B"/>
    <w:rsid w:val="00EA1DAB"/>
    <w:rsid w:val="00EE2DEF"/>
    <w:rsid w:val="00F0069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3</cp:revision>
  <cp:lastPrinted>2026-01-29T09:13:00Z</cp:lastPrinted>
  <dcterms:created xsi:type="dcterms:W3CDTF">2026-01-29T09:09:00Z</dcterms:created>
  <dcterms:modified xsi:type="dcterms:W3CDTF">2026-01-29T09:14:00Z</dcterms:modified>
</cp:coreProperties>
</file>