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CE202F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17247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 w:rsidR="00FA6EA6">
              <w:rPr>
                <w:sz w:val="24"/>
                <w:szCs w:val="24"/>
              </w:rPr>
              <w:t>7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17247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F82004">
              <w:rPr>
                <w:sz w:val="24"/>
                <w:szCs w:val="24"/>
              </w:rPr>
              <w:t xml:space="preserve"> </w:t>
            </w:r>
            <w:r w:rsidR="00FA6EA6"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17247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FA2B86">
              <w:rPr>
                <w:sz w:val="24"/>
                <w:szCs w:val="24"/>
              </w:rPr>
              <w:t xml:space="preserve"> </w:t>
            </w:r>
            <w:r w:rsidR="00FA6EA6">
              <w:rPr>
                <w:sz w:val="24"/>
                <w:szCs w:val="24"/>
              </w:rPr>
              <w:t>июля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17247" w:rsidRDefault="00517247" w:rsidP="00517247">
            <w:pPr>
              <w:pStyle w:val="aa"/>
              <w:ind w:left="851"/>
              <w:jc w:val="both"/>
              <w:rPr>
                <w:bCs/>
                <w:sz w:val="24"/>
                <w:szCs w:val="24"/>
              </w:rPr>
            </w:pPr>
            <w:r w:rsidRPr="003D12CE">
              <w:rPr>
                <w:bCs/>
                <w:sz w:val="24"/>
                <w:szCs w:val="24"/>
              </w:rPr>
              <w:t>1.О созыве внеочередного общего собрания акционеров Общества.</w:t>
            </w:r>
          </w:p>
          <w:p w:rsidR="00517247" w:rsidRPr="0055248B" w:rsidRDefault="00517247" w:rsidP="00517247">
            <w:pPr>
              <w:pStyle w:val="aa"/>
              <w:ind w:left="85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55248B">
              <w:rPr>
                <w:bCs/>
                <w:sz w:val="24"/>
                <w:szCs w:val="24"/>
              </w:rPr>
              <w:t>Об определении закупочной политики в Обществе.</w:t>
            </w:r>
          </w:p>
          <w:p w:rsidR="00517247" w:rsidRDefault="00517247" w:rsidP="005172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3541CB">
              <w:rPr>
                <w:sz w:val="24"/>
                <w:szCs w:val="24"/>
              </w:rPr>
              <w:t>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517247" w:rsidRPr="00964309" w:rsidRDefault="00517247" w:rsidP="00517247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0E624C" w:rsidRPr="003E0A18" w:rsidRDefault="00517247" w:rsidP="00517247">
            <w:pPr>
              <w:tabs>
                <w:tab w:val="num" w:pos="390"/>
                <w:tab w:val="num" w:pos="720"/>
              </w:tabs>
              <w:ind w:firstLine="851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3E0A18" w:rsidRDefault="00517247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A6EA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8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3E0A18"/>
    <w:rsid w:val="00431583"/>
    <w:rsid w:val="004501E6"/>
    <w:rsid w:val="004A463F"/>
    <w:rsid w:val="004C5A57"/>
    <w:rsid w:val="004E3D45"/>
    <w:rsid w:val="00517247"/>
    <w:rsid w:val="00522ED7"/>
    <w:rsid w:val="0053182B"/>
    <w:rsid w:val="00537A2B"/>
    <w:rsid w:val="005648ED"/>
    <w:rsid w:val="00657C4E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202F"/>
    <w:rsid w:val="00CE5304"/>
    <w:rsid w:val="00CE6362"/>
    <w:rsid w:val="00D10CB2"/>
    <w:rsid w:val="00D1279C"/>
    <w:rsid w:val="00D17DC5"/>
    <w:rsid w:val="00D23122"/>
    <w:rsid w:val="00D42269"/>
    <w:rsid w:val="00D86CF2"/>
    <w:rsid w:val="00DA1728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2022-07-26T15:13:00Z</cp:lastPrinted>
  <dcterms:created xsi:type="dcterms:W3CDTF">2022-07-26T14:38:00Z</dcterms:created>
  <dcterms:modified xsi:type="dcterms:W3CDTF">2022-07-26T15:13:00Z</dcterms:modified>
</cp:coreProperties>
</file>