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B76BB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E454D3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13032F">
              <w:rPr>
                <w:sz w:val="24"/>
                <w:szCs w:val="24"/>
              </w:rPr>
              <w:t>.</w:t>
            </w:r>
            <w:r w:rsidR="00E11A3B">
              <w:rPr>
                <w:sz w:val="24"/>
                <w:szCs w:val="24"/>
                <w:lang w:val="en-US"/>
              </w:rPr>
              <w:t>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E454D3">
              <w:rPr>
                <w:sz w:val="24"/>
                <w:szCs w:val="24"/>
              </w:rPr>
              <w:t>15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E454D3">
              <w:rPr>
                <w:sz w:val="24"/>
                <w:szCs w:val="24"/>
              </w:rPr>
              <w:t>22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E454D3" w:rsidRPr="000C0B76" w:rsidRDefault="00E454D3" w:rsidP="00E454D3">
            <w:pPr>
              <w:pStyle w:val="ae"/>
              <w:numPr>
                <w:ilvl w:val="0"/>
                <w:numId w:val="13"/>
              </w:numPr>
              <w:ind w:left="0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C0B76">
              <w:rPr>
                <w:snapToGrid w:val="0"/>
                <w:color w:val="000000"/>
                <w:sz w:val="24"/>
                <w:szCs w:val="24"/>
              </w:rPr>
              <w:t>Об определении закупочной политики в Обществе.</w:t>
            </w:r>
          </w:p>
          <w:p w:rsidR="002F0029" w:rsidRPr="00E454D3" w:rsidRDefault="00E454D3" w:rsidP="00E454D3">
            <w:pPr>
              <w:pStyle w:val="ae"/>
              <w:numPr>
                <w:ilvl w:val="0"/>
                <w:numId w:val="13"/>
              </w:numPr>
              <w:ind w:left="0" w:firstLine="851"/>
              <w:jc w:val="both"/>
              <w:rPr>
                <w:sz w:val="24"/>
                <w:szCs w:val="24"/>
              </w:rPr>
            </w:pPr>
            <w:r w:rsidRPr="000C0B76">
              <w:rPr>
                <w:sz w:val="24"/>
                <w:szCs w:val="24"/>
              </w:rPr>
              <w:t>О рассмотрении отчета Генерального директора о правовой работе ПАО «Волгоградэнергосбыт» за 4 квартал 2020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E454D3" w:rsidRDefault="00E454D3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11A3B" w:rsidRDefault="00E11A3B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1454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2021-03-16T05:32:00Z</cp:lastPrinted>
  <dcterms:created xsi:type="dcterms:W3CDTF">2021-03-16T05:24:00Z</dcterms:created>
  <dcterms:modified xsi:type="dcterms:W3CDTF">2021-03-16T05:33:00Z</dcterms:modified>
</cp:coreProperties>
</file>