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AB" w:rsidRDefault="00EA1DAB" w:rsidP="00EA1DAB">
      <w:pPr>
        <w:jc w:val="center"/>
        <w:rPr>
          <w:b/>
          <w:bCs/>
          <w:sz w:val="26"/>
          <w:szCs w:val="26"/>
        </w:rPr>
      </w:pPr>
      <w:r>
        <w:rPr>
          <w:b/>
          <w:bCs/>
          <w:sz w:val="26"/>
          <w:szCs w:val="26"/>
        </w:rPr>
        <w:t>Сообщение</w:t>
      </w:r>
    </w:p>
    <w:p w:rsidR="00B87147" w:rsidRPr="001E25C9" w:rsidRDefault="00B87147" w:rsidP="00B87147">
      <w:pPr>
        <w:jc w:val="center"/>
        <w:rPr>
          <w:b/>
          <w:bCs/>
          <w:sz w:val="26"/>
          <w:szCs w:val="26"/>
        </w:rPr>
      </w:pPr>
      <w:r>
        <w:rPr>
          <w:b/>
          <w:bCs/>
          <w:sz w:val="26"/>
          <w:szCs w:val="26"/>
        </w:rPr>
        <w:t xml:space="preserve">о   </w:t>
      </w:r>
      <w:r w:rsidRPr="001E25C9">
        <w:rPr>
          <w:b/>
          <w:bCs/>
          <w:sz w:val="26"/>
          <w:szCs w:val="26"/>
        </w:rPr>
        <w:t xml:space="preserve">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0A653B" w:rsidRPr="000A653B" w:rsidRDefault="000A653B" w:rsidP="000A653B">
      <w:pPr>
        <w:adjustRightInd w:val="0"/>
        <w:jc w:val="center"/>
        <w:rPr>
          <w:b/>
          <w:bCs/>
          <w:sz w:val="26"/>
          <w:szCs w:val="26"/>
        </w:rPr>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557"/>
        <w:gridCol w:w="4422"/>
      </w:tblGrid>
      <w:tr w:rsidR="00EA1DAB" w:rsidTr="0030024D">
        <w:trPr>
          <w:cantSplit/>
        </w:trPr>
        <w:tc>
          <w:tcPr>
            <w:tcW w:w="9979" w:type="dxa"/>
            <w:gridSpan w:val="2"/>
          </w:tcPr>
          <w:p w:rsidR="00EA1DAB" w:rsidRDefault="00EA1DAB" w:rsidP="00FD22EF">
            <w:pPr>
              <w:jc w:val="center"/>
              <w:rPr>
                <w:sz w:val="24"/>
                <w:szCs w:val="24"/>
              </w:rPr>
            </w:pPr>
            <w:r>
              <w:rPr>
                <w:sz w:val="24"/>
                <w:szCs w:val="24"/>
              </w:rPr>
              <w:t>1. Общие сведения</w:t>
            </w:r>
          </w:p>
        </w:tc>
      </w:tr>
      <w:tr w:rsidR="00EA1DAB" w:rsidTr="0030024D">
        <w:tc>
          <w:tcPr>
            <w:tcW w:w="5557" w:type="dxa"/>
          </w:tcPr>
          <w:p w:rsidR="00EA1DAB" w:rsidRDefault="00EA1DAB" w:rsidP="00FD22EF">
            <w:pPr>
              <w:ind w:left="57" w:right="57"/>
              <w:jc w:val="both"/>
              <w:rPr>
                <w:sz w:val="24"/>
                <w:szCs w:val="24"/>
              </w:rPr>
            </w:pPr>
            <w:r>
              <w:rPr>
                <w:sz w:val="24"/>
                <w:szCs w:val="24"/>
              </w:rPr>
              <w:t>1.1. </w:t>
            </w:r>
            <w:r w:rsidRPr="00657C4E">
              <w:rPr>
                <w:sz w:val="24"/>
                <w:szCs w:val="24"/>
              </w:rPr>
              <w:t>Полное фирменное наименование (для</w:t>
            </w:r>
            <w:r>
              <w:rPr>
                <w:sz w:val="24"/>
                <w:szCs w:val="24"/>
              </w:rPr>
              <w:t xml:space="preserve"> </w:t>
            </w:r>
            <w:r w:rsidRPr="00657C4E">
              <w:rPr>
                <w:sz w:val="24"/>
                <w:szCs w:val="24"/>
              </w:rPr>
              <w:t>коммерческой организации) или наименование (для</w:t>
            </w:r>
            <w:r>
              <w:rPr>
                <w:sz w:val="24"/>
                <w:szCs w:val="24"/>
              </w:rPr>
              <w:t xml:space="preserve"> </w:t>
            </w:r>
            <w:r w:rsidRPr="00657C4E">
              <w:rPr>
                <w:sz w:val="24"/>
                <w:szCs w:val="24"/>
              </w:rPr>
              <w:t>некоммерческой организации) эмитента</w:t>
            </w:r>
          </w:p>
        </w:tc>
        <w:tc>
          <w:tcPr>
            <w:tcW w:w="4422" w:type="dxa"/>
          </w:tcPr>
          <w:p w:rsidR="00EA1DAB" w:rsidRDefault="00171AA4" w:rsidP="00FD22EF">
            <w:pPr>
              <w:ind w:left="57" w:right="57"/>
              <w:jc w:val="both"/>
              <w:rPr>
                <w:sz w:val="24"/>
                <w:szCs w:val="24"/>
              </w:rPr>
            </w:pPr>
            <w:r w:rsidRPr="00E56AD8">
              <w:rPr>
                <w:sz w:val="24"/>
                <w:szCs w:val="24"/>
              </w:rPr>
              <w:t>Публичное акционерное общество «Волгоградэнергосбыт»</w:t>
            </w:r>
          </w:p>
        </w:tc>
      </w:tr>
      <w:tr w:rsidR="00EA1DAB" w:rsidTr="0030024D">
        <w:tc>
          <w:tcPr>
            <w:tcW w:w="5557" w:type="dxa"/>
          </w:tcPr>
          <w:p w:rsidR="00EA1DAB" w:rsidRDefault="00EA1DAB" w:rsidP="00FD22EF">
            <w:pPr>
              <w:ind w:left="57" w:right="57"/>
              <w:jc w:val="both"/>
              <w:rPr>
                <w:sz w:val="24"/>
                <w:szCs w:val="24"/>
              </w:rPr>
            </w:pPr>
            <w:r>
              <w:rPr>
                <w:sz w:val="24"/>
                <w:szCs w:val="24"/>
              </w:rPr>
              <w:t>1.2. </w:t>
            </w:r>
            <w:r w:rsidRPr="00657C4E">
              <w:rPr>
                <w:sz w:val="24"/>
                <w:szCs w:val="24"/>
              </w:rPr>
              <w:t>Адрес эмитента, указанный в едином</w:t>
            </w:r>
            <w:r>
              <w:rPr>
                <w:sz w:val="24"/>
                <w:szCs w:val="24"/>
              </w:rPr>
              <w:t xml:space="preserve"> </w:t>
            </w:r>
            <w:r w:rsidRPr="00657C4E">
              <w:rPr>
                <w:sz w:val="24"/>
                <w:szCs w:val="24"/>
              </w:rPr>
              <w:t>государственном реестре юридических лиц</w:t>
            </w:r>
          </w:p>
        </w:tc>
        <w:tc>
          <w:tcPr>
            <w:tcW w:w="4422" w:type="dxa"/>
          </w:tcPr>
          <w:p w:rsidR="00EA1DAB" w:rsidRDefault="00171AA4" w:rsidP="00FD22EF">
            <w:pPr>
              <w:ind w:left="57" w:right="57"/>
              <w:jc w:val="both"/>
              <w:rPr>
                <w:sz w:val="24"/>
                <w:szCs w:val="24"/>
              </w:rPr>
            </w:pPr>
            <w:r w:rsidRPr="00E56AD8">
              <w:rPr>
                <w:sz w:val="24"/>
                <w:szCs w:val="24"/>
              </w:rPr>
              <w:t>ПАО «Волгоградэнергосбыт»</w:t>
            </w:r>
          </w:p>
        </w:tc>
      </w:tr>
      <w:tr w:rsidR="00EA1DAB" w:rsidTr="0030024D">
        <w:tc>
          <w:tcPr>
            <w:tcW w:w="5557" w:type="dxa"/>
          </w:tcPr>
          <w:p w:rsidR="00EA1DAB" w:rsidRDefault="00EA1DAB" w:rsidP="00FD22EF">
            <w:pPr>
              <w:ind w:left="57" w:right="57"/>
              <w:jc w:val="both"/>
              <w:rPr>
                <w:sz w:val="24"/>
                <w:szCs w:val="24"/>
              </w:rPr>
            </w:pPr>
            <w:r>
              <w:rPr>
                <w:sz w:val="24"/>
                <w:szCs w:val="24"/>
              </w:rPr>
              <w:t>1.3. </w:t>
            </w:r>
            <w:r w:rsidRPr="00657C4E">
              <w:rPr>
                <w:sz w:val="24"/>
                <w:szCs w:val="24"/>
              </w:rPr>
              <w:t>Основной государственный регистрационный</w:t>
            </w:r>
            <w:r>
              <w:rPr>
                <w:sz w:val="24"/>
                <w:szCs w:val="24"/>
              </w:rPr>
              <w:t xml:space="preserve"> </w:t>
            </w:r>
            <w:r w:rsidRPr="00657C4E">
              <w:rPr>
                <w:sz w:val="24"/>
                <w:szCs w:val="24"/>
              </w:rPr>
              <w:t>номер (ОГРН) эмитента (при наличии)</w:t>
            </w:r>
          </w:p>
        </w:tc>
        <w:tc>
          <w:tcPr>
            <w:tcW w:w="4422" w:type="dxa"/>
          </w:tcPr>
          <w:p w:rsidR="00EA1DAB" w:rsidRDefault="00171AA4" w:rsidP="00FD22EF">
            <w:pPr>
              <w:ind w:left="57" w:right="57"/>
              <w:jc w:val="both"/>
              <w:rPr>
                <w:sz w:val="24"/>
                <w:szCs w:val="24"/>
              </w:rPr>
            </w:pPr>
            <w:r w:rsidRPr="00E56AD8">
              <w:rPr>
                <w:sz w:val="24"/>
                <w:szCs w:val="24"/>
              </w:rPr>
              <w:t>1053444090028</w:t>
            </w:r>
          </w:p>
        </w:tc>
      </w:tr>
      <w:tr w:rsidR="00EA1DAB" w:rsidTr="0030024D">
        <w:tc>
          <w:tcPr>
            <w:tcW w:w="5557" w:type="dxa"/>
          </w:tcPr>
          <w:p w:rsidR="00EA1DAB" w:rsidRDefault="00EA1DAB" w:rsidP="00FD22EF">
            <w:pPr>
              <w:ind w:left="57" w:right="57"/>
              <w:jc w:val="both"/>
              <w:rPr>
                <w:sz w:val="24"/>
                <w:szCs w:val="24"/>
              </w:rPr>
            </w:pPr>
            <w:r>
              <w:rPr>
                <w:sz w:val="24"/>
                <w:szCs w:val="24"/>
              </w:rPr>
              <w:t>1.4. </w:t>
            </w:r>
            <w:r w:rsidRPr="00657C4E">
              <w:rPr>
                <w:sz w:val="24"/>
                <w:szCs w:val="24"/>
              </w:rPr>
              <w:t>Иденти</w:t>
            </w:r>
            <w:r w:rsidR="0053182B">
              <w:rPr>
                <w:sz w:val="24"/>
                <w:szCs w:val="24"/>
              </w:rPr>
              <w:t>фикационный номер налогоплательщ</w:t>
            </w:r>
            <w:r w:rsidRPr="00657C4E">
              <w:rPr>
                <w:sz w:val="24"/>
                <w:szCs w:val="24"/>
              </w:rPr>
              <w:t>ика</w:t>
            </w:r>
            <w:r>
              <w:rPr>
                <w:sz w:val="24"/>
                <w:szCs w:val="24"/>
              </w:rPr>
              <w:t xml:space="preserve"> </w:t>
            </w:r>
            <w:r w:rsidRPr="00657C4E">
              <w:rPr>
                <w:sz w:val="24"/>
                <w:szCs w:val="24"/>
              </w:rPr>
              <w:t>(ИНН) эмитента (при наличии)</w:t>
            </w:r>
          </w:p>
        </w:tc>
        <w:tc>
          <w:tcPr>
            <w:tcW w:w="4422" w:type="dxa"/>
          </w:tcPr>
          <w:p w:rsidR="00EA1DAB" w:rsidRDefault="00171AA4" w:rsidP="00FD22EF">
            <w:pPr>
              <w:ind w:left="57" w:right="57"/>
              <w:jc w:val="both"/>
              <w:rPr>
                <w:sz w:val="24"/>
                <w:szCs w:val="24"/>
              </w:rPr>
            </w:pPr>
            <w:r w:rsidRPr="00E56AD8">
              <w:rPr>
                <w:sz w:val="24"/>
                <w:szCs w:val="24"/>
              </w:rPr>
              <w:t>3445071523</w:t>
            </w:r>
          </w:p>
        </w:tc>
      </w:tr>
      <w:tr w:rsidR="00EA1DAB" w:rsidTr="0030024D">
        <w:tc>
          <w:tcPr>
            <w:tcW w:w="5557" w:type="dxa"/>
          </w:tcPr>
          <w:p w:rsidR="00EA1DAB" w:rsidRDefault="00EA1DAB" w:rsidP="00FD22EF">
            <w:pPr>
              <w:ind w:left="57" w:right="57"/>
              <w:jc w:val="both"/>
              <w:rPr>
                <w:sz w:val="24"/>
                <w:szCs w:val="24"/>
              </w:rPr>
            </w:pPr>
            <w:r>
              <w:rPr>
                <w:sz w:val="24"/>
                <w:szCs w:val="24"/>
              </w:rPr>
              <w:t>1.5. </w:t>
            </w:r>
            <w:r w:rsidRPr="00657C4E">
              <w:rPr>
                <w:sz w:val="24"/>
                <w:szCs w:val="24"/>
              </w:rPr>
              <w:t>Уникальный код эмитента, присвоенный Банком</w:t>
            </w:r>
            <w:r>
              <w:rPr>
                <w:sz w:val="24"/>
                <w:szCs w:val="24"/>
              </w:rPr>
              <w:t xml:space="preserve"> </w:t>
            </w:r>
            <w:r w:rsidRPr="00657C4E">
              <w:rPr>
                <w:sz w:val="24"/>
                <w:szCs w:val="24"/>
              </w:rPr>
              <w:t>России</w:t>
            </w:r>
          </w:p>
        </w:tc>
        <w:tc>
          <w:tcPr>
            <w:tcW w:w="4422" w:type="dxa"/>
          </w:tcPr>
          <w:p w:rsidR="00EA1DAB" w:rsidRDefault="00171AA4" w:rsidP="00FD22EF">
            <w:pPr>
              <w:ind w:left="57" w:right="57"/>
              <w:jc w:val="both"/>
              <w:rPr>
                <w:sz w:val="24"/>
                <w:szCs w:val="24"/>
              </w:rPr>
            </w:pPr>
            <w:r w:rsidRPr="00E56AD8">
              <w:rPr>
                <w:sz w:val="24"/>
                <w:szCs w:val="24"/>
              </w:rPr>
              <w:t>65103-</w:t>
            </w:r>
            <w:r w:rsidRPr="00E56AD8">
              <w:rPr>
                <w:sz w:val="24"/>
                <w:szCs w:val="24"/>
                <w:lang w:val="en-US"/>
              </w:rPr>
              <w:t>D</w:t>
            </w:r>
          </w:p>
        </w:tc>
      </w:tr>
      <w:tr w:rsidR="00EA1DAB" w:rsidTr="0030024D">
        <w:tc>
          <w:tcPr>
            <w:tcW w:w="5557" w:type="dxa"/>
          </w:tcPr>
          <w:p w:rsidR="00EA1DAB" w:rsidRDefault="00EA1DAB" w:rsidP="00FD22EF">
            <w:pPr>
              <w:ind w:left="57" w:right="57"/>
              <w:jc w:val="both"/>
              <w:rPr>
                <w:sz w:val="24"/>
                <w:szCs w:val="24"/>
              </w:rPr>
            </w:pPr>
            <w:r>
              <w:rPr>
                <w:sz w:val="24"/>
                <w:szCs w:val="24"/>
              </w:rPr>
              <w:t>1.6. </w:t>
            </w:r>
            <w:r w:rsidR="0030024D">
              <w:rPr>
                <w:sz w:val="24"/>
                <w:szCs w:val="24"/>
              </w:rPr>
              <w:t>Адрес страницы в сети «</w:t>
            </w:r>
            <w:r w:rsidRPr="00657C4E">
              <w:rPr>
                <w:sz w:val="24"/>
                <w:szCs w:val="24"/>
              </w:rPr>
              <w:t>Интернет», используемой</w:t>
            </w:r>
            <w:r>
              <w:rPr>
                <w:sz w:val="24"/>
                <w:szCs w:val="24"/>
              </w:rPr>
              <w:t xml:space="preserve"> </w:t>
            </w:r>
            <w:r w:rsidRPr="00657C4E">
              <w:rPr>
                <w:sz w:val="24"/>
                <w:szCs w:val="24"/>
              </w:rPr>
              <w:t>эмитентом для раскрытия информации</w:t>
            </w:r>
          </w:p>
        </w:tc>
        <w:tc>
          <w:tcPr>
            <w:tcW w:w="4422" w:type="dxa"/>
          </w:tcPr>
          <w:p w:rsidR="0053182B" w:rsidRDefault="00082E73" w:rsidP="0053182B">
            <w:pPr>
              <w:ind w:right="85"/>
              <w:jc w:val="both"/>
              <w:rPr>
                <w:sz w:val="24"/>
                <w:szCs w:val="24"/>
              </w:rPr>
            </w:pPr>
            <w:hyperlink r:id="rId7" w:history="1">
              <w:r w:rsidR="0053182B" w:rsidRPr="002E3D47">
                <w:rPr>
                  <w:rStyle w:val="ac"/>
                  <w:sz w:val="24"/>
                  <w:szCs w:val="24"/>
                </w:rPr>
                <w:t>http://www.e-disclosure.ru/portal/company.aspx?id=5966</w:t>
              </w:r>
            </w:hyperlink>
          </w:p>
          <w:p w:rsidR="00EA1DAB" w:rsidRPr="0053182B" w:rsidRDefault="00082E73" w:rsidP="0053182B">
            <w:pPr>
              <w:ind w:left="57" w:right="57"/>
              <w:jc w:val="both"/>
              <w:rPr>
                <w:color w:val="FF0000"/>
                <w:sz w:val="24"/>
                <w:szCs w:val="24"/>
              </w:rPr>
            </w:pPr>
            <w:hyperlink r:id="rId8" w:history="1">
              <w:r w:rsidR="0053182B" w:rsidRPr="002E3D47">
                <w:rPr>
                  <w:rStyle w:val="ac"/>
                  <w:sz w:val="24"/>
                  <w:szCs w:val="24"/>
                </w:rPr>
                <w:t>http://www.astsbyt.ru/index.php?do=cat&amp;category=share_info</w:t>
              </w:r>
            </w:hyperlink>
          </w:p>
        </w:tc>
      </w:tr>
      <w:tr w:rsidR="00EA1DAB" w:rsidTr="0030024D">
        <w:tc>
          <w:tcPr>
            <w:tcW w:w="5557" w:type="dxa"/>
          </w:tcPr>
          <w:p w:rsidR="00EA1DAB" w:rsidRPr="009B11DE" w:rsidRDefault="00EA1DAB" w:rsidP="00FD22EF">
            <w:pPr>
              <w:ind w:left="57" w:right="57"/>
              <w:jc w:val="both"/>
              <w:rPr>
                <w:sz w:val="24"/>
                <w:szCs w:val="24"/>
              </w:rPr>
            </w:pPr>
            <w:r w:rsidRPr="009B11DE">
              <w:rPr>
                <w:sz w:val="24"/>
                <w:szCs w:val="24"/>
              </w:rPr>
              <w:t>1.7. Дата наступления события (существенного факта), о котором составлено сообщение</w:t>
            </w:r>
          </w:p>
        </w:tc>
        <w:tc>
          <w:tcPr>
            <w:tcW w:w="4422" w:type="dxa"/>
          </w:tcPr>
          <w:p w:rsidR="00EA1DAB" w:rsidRPr="009B11DE" w:rsidRDefault="00B87147" w:rsidP="00FD22EF">
            <w:pPr>
              <w:ind w:left="57" w:right="57"/>
              <w:jc w:val="both"/>
              <w:rPr>
                <w:sz w:val="24"/>
                <w:szCs w:val="24"/>
              </w:rPr>
            </w:pPr>
            <w:r>
              <w:rPr>
                <w:sz w:val="24"/>
                <w:szCs w:val="24"/>
              </w:rPr>
              <w:t>27</w:t>
            </w:r>
            <w:r w:rsidR="005648ED">
              <w:rPr>
                <w:sz w:val="24"/>
                <w:szCs w:val="24"/>
              </w:rPr>
              <w:t>.1</w:t>
            </w:r>
            <w:r w:rsidR="005648ED">
              <w:rPr>
                <w:sz w:val="24"/>
                <w:szCs w:val="24"/>
                <w:lang w:val="en-US"/>
              </w:rPr>
              <w:t>2</w:t>
            </w:r>
            <w:r w:rsidR="0053182B" w:rsidRPr="009B11DE">
              <w:rPr>
                <w:sz w:val="24"/>
                <w:szCs w:val="24"/>
              </w:rPr>
              <w:t>.2021</w:t>
            </w:r>
          </w:p>
        </w:tc>
      </w:tr>
    </w:tbl>
    <w:p w:rsidR="00EA1DAB" w:rsidRDefault="00EA1DAB" w:rsidP="00EA1DA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79"/>
      </w:tblGrid>
      <w:tr w:rsidR="00EA1DAB" w:rsidTr="00FD22EF">
        <w:tc>
          <w:tcPr>
            <w:tcW w:w="9979" w:type="dxa"/>
          </w:tcPr>
          <w:p w:rsidR="00EA1DAB" w:rsidRDefault="00EA1DAB" w:rsidP="00FD22EF">
            <w:pPr>
              <w:jc w:val="center"/>
              <w:rPr>
                <w:sz w:val="24"/>
                <w:szCs w:val="24"/>
              </w:rPr>
            </w:pPr>
            <w:r>
              <w:rPr>
                <w:sz w:val="24"/>
                <w:szCs w:val="24"/>
              </w:rPr>
              <w:t>2. Содержание сообщения</w:t>
            </w:r>
          </w:p>
        </w:tc>
      </w:tr>
      <w:tr w:rsidR="00EA1DAB" w:rsidTr="00FD22EF">
        <w:tc>
          <w:tcPr>
            <w:tcW w:w="9979" w:type="dxa"/>
          </w:tcPr>
          <w:p w:rsidR="000D2E61" w:rsidRPr="00385498" w:rsidRDefault="000D2E61" w:rsidP="000D2E61">
            <w:pPr>
              <w:adjustRightInd w:val="0"/>
              <w:ind w:firstLine="567"/>
              <w:jc w:val="both"/>
              <w:rPr>
                <w:sz w:val="24"/>
                <w:szCs w:val="24"/>
              </w:rPr>
            </w:pPr>
            <w:r w:rsidRPr="006D2011">
              <w:rPr>
                <w:sz w:val="24"/>
                <w:szCs w:val="24"/>
              </w:rPr>
              <w:t xml:space="preserve">2.1 лицо, которое приобрело право распоряжаться определенным количеством голосов, </w:t>
            </w:r>
            <w:r w:rsidRPr="00385498">
              <w:rPr>
                <w:sz w:val="24"/>
                <w:szCs w:val="24"/>
              </w:rPr>
              <w:t xml:space="preserve">приходящихся на голосующие акции (доли), составляющие уставный капитал эмитента: </w:t>
            </w:r>
            <w:r>
              <w:rPr>
                <w:sz w:val="24"/>
                <w:szCs w:val="24"/>
              </w:rPr>
              <w:t>Сидорова Татьяна Геннадьевна</w:t>
            </w:r>
            <w:r w:rsidRPr="00385498">
              <w:rPr>
                <w:sz w:val="24"/>
                <w:szCs w:val="24"/>
              </w:rPr>
              <w:t>;</w:t>
            </w:r>
          </w:p>
          <w:p w:rsidR="000D2E61" w:rsidRPr="00385498" w:rsidRDefault="000D2E61" w:rsidP="000D2E61">
            <w:pPr>
              <w:adjustRightInd w:val="0"/>
              <w:ind w:firstLine="540"/>
              <w:jc w:val="both"/>
              <w:rPr>
                <w:sz w:val="24"/>
                <w:szCs w:val="24"/>
              </w:rPr>
            </w:pPr>
            <w:proofErr w:type="gramStart"/>
            <w:r w:rsidRPr="00385498">
              <w:rPr>
                <w:sz w:val="24"/>
                <w:szCs w:val="24"/>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косвенное распоряжение;</w:t>
            </w:r>
            <w:proofErr w:type="gramEnd"/>
          </w:p>
          <w:p w:rsidR="000D2E61" w:rsidRPr="00385498" w:rsidRDefault="000D2E61" w:rsidP="000D2E61">
            <w:pPr>
              <w:adjustRightInd w:val="0"/>
              <w:ind w:firstLine="540"/>
              <w:jc w:val="both"/>
              <w:rPr>
                <w:sz w:val="24"/>
                <w:szCs w:val="24"/>
              </w:rPr>
            </w:pPr>
            <w:r w:rsidRPr="00385498">
              <w:rPr>
                <w:sz w:val="24"/>
                <w:szCs w:val="24"/>
              </w:rPr>
              <w:t>2.3.последовательно все подконтрольные лицу организации (цепочка организаций, находящихся под прямым или косвенным контролем лица), через которых лицо приобрело право косвенно распоряжаться определенным количеством голосов, приходящихся на голосующие акции (доли), составляющие уставный капитал эмитента:</w:t>
            </w:r>
          </w:p>
          <w:p w:rsidR="000D2E61" w:rsidRPr="005B369C" w:rsidRDefault="000D2E61" w:rsidP="000D2E61">
            <w:pPr>
              <w:adjustRightInd w:val="0"/>
              <w:ind w:firstLine="567"/>
              <w:jc w:val="both"/>
              <w:rPr>
                <w:sz w:val="24"/>
                <w:szCs w:val="24"/>
              </w:rPr>
            </w:pPr>
            <w:r w:rsidRPr="00385498">
              <w:rPr>
                <w:sz w:val="24"/>
                <w:szCs w:val="24"/>
              </w:rPr>
              <w:t xml:space="preserve">полное фирменное наименование (для коммерческой организации) или наименование (для некоммерческой организации): </w:t>
            </w:r>
            <w:r w:rsidRPr="005B369C">
              <w:rPr>
                <w:sz w:val="24"/>
                <w:szCs w:val="24"/>
              </w:rPr>
              <w:t>Общество с ограниченной ответственностью «</w:t>
            </w:r>
            <w:proofErr w:type="spellStart"/>
            <w:r w:rsidRPr="005B369C">
              <w:rPr>
                <w:sz w:val="24"/>
                <w:szCs w:val="24"/>
              </w:rPr>
              <w:t>Волга</w:t>
            </w:r>
            <w:r>
              <w:rPr>
                <w:sz w:val="24"/>
                <w:szCs w:val="24"/>
              </w:rPr>
              <w:t>-М</w:t>
            </w:r>
            <w:proofErr w:type="spellEnd"/>
            <w:r w:rsidRPr="005B369C">
              <w:rPr>
                <w:sz w:val="24"/>
                <w:szCs w:val="24"/>
              </w:rPr>
              <w:t>»;</w:t>
            </w:r>
          </w:p>
          <w:p w:rsidR="000D2E61" w:rsidRPr="005B369C" w:rsidRDefault="000D2E61" w:rsidP="000D2E61">
            <w:pPr>
              <w:adjustRightInd w:val="0"/>
              <w:ind w:firstLine="567"/>
              <w:jc w:val="both"/>
              <w:rPr>
                <w:sz w:val="24"/>
                <w:szCs w:val="24"/>
              </w:rPr>
            </w:pPr>
            <w:r w:rsidRPr="005B369C">
              <w:rPr>
                <w:sz w:val="24"/>
                <w:szCs w:val="24"/>
              </w:rPr>
              <w:t xml:space="preserve"> место нахождения: </w:t>
            </w:r>
            <w:r>
              <w:rPr>
                <w:sz w:val="24"/>
                <w:szCs w:val="24"/>
              </w:rPr>
              <w:t>Волгоградская</w:t>
            </w:r>
            <w:r w:rsidRPr="005B369C">
              <w:rPr>
                <w:sz w:val="24"/>
                <w:szCs w:val="24"/>
              </w:rPr>
              <w:t xml:space="preserve"> область, город </w:t>
            </w:r>
            <w:r>
              <w:rPr>
                <w:sz w:val="24"/>
                <w:szCs w:val="24"/>
              </w:rPr>
              <w:t>Волгоград</w:t>
            </w:r>
            <w:r w:rsidRPr="005B369C">
              <w:rPr>
                <w:sz w:val="24"/>
                <w:szCs w:val="24"/>
              </w:rPr>
              <w:t>;</w:t>
            </w:r>
          </w:p>
          <w:p w:rsidR="000D2E61" w:rsidRPr="005B369C" w:rsidRDefault="000D2E61" w:rsidP="000D2E61">
            <w:pPr>
              <w:adjustRightInd w:val="0"/>
              <w:ind w:firstLine="567"/>
              <w:jc w:val="both"/>
              <w:rPr>
                <w:sz w:val="24"/>
                <w:szCs w:val="24"/>
              </w:rPr>
            </w:pPr>
            <w:r w:rsidRPr="005B369C">
              <w:rPr>
                <w:sz w:val="24"/>
                <w:szCs w:val="24"/>
              </w:rPr>
              <w:t xml:space="preserve">идентификационный номер налогоплательщика (ИНН): </w:t>
            </w:r>
            <w:r>
              <w:rPr>
                <w:sz w:val="24"/>
                <w:szCs w:val="24"/>
              </w:rPr>
              <w:t>3447026212</w:t>
            </w:r>
            <w:r w:rsidRPr="005B369C">
              <w:rPr>
                <w:sz w:val="24"/>
                <w:szCs w:val="24"/>
              </w:rPr>
              <w:t>;</w:t>
            </w:r>
          </w:p>
          <w:p w:rsidR="000D2E61" w:rsidRPr="005B369C" w:rsidRDefault="000D2E61" w:rsidP="000D2E61">
            <w:pPr>
              <w:adjustRightInd w:val="0"/>
              <w:ind w:firstLine="567"/>
              <w:jc w:val="both"/>
              <w:rPr>
                <w:sz w:val="24"/>
                <w:szCs w:val="24"/>
              </w:rPr>
            </w:pPr>
            <w:r w:rsidRPr="005B369C">
              <w:rPr>
                <w:sz w:val="24"/>
                <w:szCs w:val="24"/>
              </w:rPr>
              <w:t>основной государственный регистрационный номер (ОГРН):</w:t>
            </w:r>
            <w:r>
              <w:rPr>
                <w:sz w:val="24"/>
                <w:szCs w:val="24"/>
              </w:rPr>
              <w:t xml:space="preserve"> 1083461000193</w:t>
            </w:r>
            <w:r w:rsidRPr="005B369C">
              <w:rPr>
                <w:sz w:val="24"/>
                <w:szCs w:val="24"/>
              </w:rPr>
              <w:t>;</w:t>
            </w:r>
          </w:p>
          <w:p w:rsidR="000D2E61" w:rsidRPr="00385498" w:rsidRDefault="000D2E61" w:rsidP="000D2E61">
            <w:pPr>
              <w:adjustRightInd w:val="0"/>
              <w:ind w:firstLine="540"/>
              <w:jc w:val="both"/>
              <w:rPr>
                <w:sz w:val="24"/>
                <w:szCs w:val="24"/>
              </w:rPr>
            </w:pPr>
            <w:r w:rsidRPr="00385498">
              <w:rPr>
                <w:sz w:val="24"/>
                <w:szCs w:val="24"/>
              </w:rPr>
              <w:t>2.4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самостоятельное распоряжение;</w:t>
            </w:r>
          </w:p>
          <w:p w:rsidR="000D2E61" w:rsidRPr="00385498" w:rsidRDefault="000D2E61" w:rsidP="000D2E61">
            <w:pPr>
              <w:adjustRightInd w:val="0"/>
              <w:ind w:firstLine="540"/>
              <w:jc w:val="both"/>
              <w:rPr>
                <w:sz w:val="24"/>
                <w:szCs w:val="24"/>
              </w:rPr>
            </w:pPr>
            <w:r w:rsidRPr="00385498">
              <w:rPr>
                <w:sz w:val="24"/>
                <w:szCs w:val="24"/>
              </w:rPr>
              <w:t>2.5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приобретение доли участия в эмитенте;</w:t>
            </w:r>
          </w:p>
          <w:p w:rsidR="000D2E61" w:rsidRPr="00385498" w:rsidRDefault="000D2E61" w:rsidP="000D2E61">
            <w:pPr>
              <w:adjustRightInd w:val="0"/>
              <w:ind w:firstLine="540"/>
              <w:jc w:val="both"/>
              <w:rPr>
                <w:sz w:val="24"/>
                <w:szCs w:val="24"/>
              </w:rPr>
            </w:pPr>
            <w:r w:rsidRPr="00385498">
              <w:rPr>
                <w:sz w:val="24"/>
                <w:szCs w:val="24"/>
              </w:rPr>
              <w:t>2.6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0/0;</w:t>
            </w:r>
          </w:p>
          <w:p w:rsidR="000D2E61" w:rsidRPr="00385498" w:rsidRDefault="000D2E61" w:rsidP="000D2E61">
            <w:pPr>
              <w:adjustRightInd w:val="0"/>
              <w:ind w:firstLine="540"/>
              <w:jc w:val="both"/>
              <w:rPr>
                <w:sz w:val="24"/>
                <w:szCs w:val="24"/>
              </w:rPr>
            </w:pPr>
            <w:r w:rsidRPr="00385498">
              <w:rPr>
                <w:sz w:val="24"/>
                <w:szCs w:val="24"/>
              </w:rPr>
              <w:t xml:space="preserve">2.7 количество и доля (в процентах) голосов, приходящихся на голосующие акции (доли), составляющие уставный капитал эмитента, </w:t>
            </w:r>
            <w:proofErr w:type="gramStart"/>
            <w:r w:rsidRPr="00385498">
              <w:rPr>
                <w:sz w:val="24"/>
                <w:szCs w:val="24"/>
              </w:rPr>
              <w:t>право</w:t>
            </w:r>
            <w:proofErr w:type="gramEnd"/>
            <w:r w:rsidRPr="00385498">
              <w:rPr>
                <w:sz w:val="24"/>
                <w:szCs w:val="24"/>
              </w:rPr>
              <w:t xml:space="preserve"> распоряжаться которыми лицо получило после наступления указанного основания: </w:t>
            </w:r>
            <w:r>
              <w:rPr>
                <w:sz w:val="24"/>
                <w:szCs w:val="24"/>
              </w:rPr>
              <w:t>90 703 980 шт.</w:t>
            </w:r>
            <w:r w:rsidRPr="005B369C">
              <w:rPr>
                <w:sz w:val="24"/>
                <w:szCs w:val="24"/>
              </w:rPr>
              <w:t xml:space="preserve"> / </w:t>
            </w:r>
            <w:r>
              <w:rPr>
                <w:sz w:val="24"/>
                <w:szCs w:val="24"/>
              </w:rPr>
              <w:t>22,6706%</w:t>
            </w:r>
            <w:r w:rsidRPr="005B369C">
              <w:rPr>
                <w:sz w:val="24"/>
                <w:szCs w:val="24"/>
              </w:rPr>
              <w:t>;</w:t>
            </w:r>
          </w:p>
          <w:p w:rsidR="000D2E61" w:rsidRPr="00385498" w:rsidRDefault="000D2E61" w:rsidP="000D2E61">
            <w:pPr>
              <w:adjustRightInd w:val="0"/>
              <w:ind w:firstLine="540"/>
              <w:jc w:val="both"/>
              <w:rPr>
                <w:sz w:val="24"/>
                <w:szCs w:val="24"/>
              </w:rPr>
            </w:pPr>
            <w:r w:rsidRPr="00385498">
              <w:rPr>
                <w:sz w:val="24"/>
                <w:szCs w:val="24"/>
              </w:rPr>
              <w:t xml:space="preserve">2.8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Pr>
                <w:sz w:val="24"/>
                <w:szCs w:val="24"/>
              </w:rPr>
              <w:t>21.12</w:t>
            </w:r>
            <w:r w:rsidRPr="00385498">
              <w:rPr>
                <w:sz w:val="24"/>
                <w:szCs w:val="24"/>
              </w:rPr>
              <w:t>.2021;</w:t>
            </w:r>
          </w:p>
          <w:p w:rsidR="000D2E61" w:rsidRPr="005B369C" w:rsidRDefault="000D2E61" w:rsidP="000D2E61">
            <w:pPr>
              <w:adjustRightInd w:val="0"/>
              <w:ind w:firstLine="540"/>
              <w:jc w:val="both"/>
              <w:rPr>
                <w:sz w:val="24"/>
                <w:szCs w:val="24"/>
              </w:rPr>
            </w:pPr>
            <w:r w:rsidRPr="00385498">
              <w:rPr>
                <w:sz w:val="24"/>
                <w:szCs w:val="24"/>
              </w:rPr>
              <w:t>2.9 фактор, под действием (влиянием) которого произошло изменение общего количества голосов, приходящихся на голосующие акции (доли), составляющие уставный капитал эмитента, а также краткое описание действия (влияния) указанного фактора</w:t>
            </w:r>
            <w:proofErr w:type="gramStart"/>
            <w:r w:rsidRPr="00385498">
              <w:rPr>
                <w:sz w:val="24"/>
                <w:szCs w:val="24"/>
              </w:rPr>
              <w:t xml:space="preserve">: </w:t>
            </w:r>
            <w:r w:rsidRPr="005B369C">
              <w:rPr>
                <w:sz w:val="24"/>
                <w:szCs w:val="24"/>
              </w:rPr>
              <w:t>:</w:t>
            </w:r>
            <w:r>
              <w:rPr>
                <w:sz w:val="24"/>
                <w:szCs w:val="24"/>
              </w:rPr>
              <w:t xml:space="preserve"> </w:t>
            </w:r>
            <w:proofErr w:type="gramEnd"/>
            <w:r>
              <w:rPr>
                <w:sz w:val="24"/>
                <w:szCs w:val="24"/>
              </w:rPr>
              <w:t xml:space="preserve">решение о выплате дивидендов  по привилегированным акциям на годовом общем собрании акционеров не принято. </w:t>
            </w:r>
            <w:proofErr w:type="gramStart"/>
            <w:r>
              <w:rPr>
                <w:sz w:val="24"/>
                <w:szCs w:val="24"/>
              </w:rPr>
              <w:t>Акционеры - владельцы привилегированных акций определенного типа, размер дивиденда по которым определен в уставе общества, за исключением акционеров - владельцев кумулятивных привилегированных акций, имеют право участвовать в общем собрании акционеров с правом голоса по всем вопросам его компетенции, начиная с собрания, следующего за годовым общим собранием акционеров, на котором независимо от причин не было принято решение о выплате дивидендов или было принято</w:t>
            </w:r>
            <w:proofErr w:type="gramEnd"/>
            <w:r>
              <w:rPr>
                <w:sz w:val="24"/>
                <w:szCs w:val="24"/>
              </w:rPr>
              <w:t xml:space="preserve"> решение о неполной выплате дивидендов по привилегированным акциям этого типа (п.5 ст.32</w:t>
            </w:r>
            <w:r w:rsidRPr="005B369C">
              <w:rPr>
                <w:sz w:val="24"/>
                <w:szCs w:val="24"/>
              </w:rPr>
              <w:t xml:space="preserve"> Федерального закона от 26.12.1995 N 20</w:t>
            </w:r>
            <w:r>
              <w:rPr>
                <w:sz w:val="24"/>
                <w:szCs w:val="24"/>
              </w:rPr>
              <w:t>8-ФЗ "Об акционерных обществах");</w:t>
            </w:r>
          </w:p>
          <w:p w:rsidR="000D2E61" w:rsidRPr="00385498" w:rsidRDefault="000D2E61" w:rsidP="000D2E61">
            <w:pPr>
              <w:adjustRightInd w:val="0"/>
              <w:ind w:firstLine="540"/>
              <w:jc w:val="both"/>
              <w:rPr>
                <w:sz w:val="24"/>
                <w:szCs w:val="24"/>
              </w:rPr>
            </w:pPr>
            <w:r w:rsidRPr="00385498">
              <w:rPr>
                <w:sz w:val="24"/>
                <w:szCs w:val="24"/>
              </w:rPr>
              <w:t xml:space="preserve">2.9.1 общее количество голосов, приходящихся на голосующие акции (доли), составляющие уставный капитал эмитента, с учетом действия (влияния) указанного фактора: </w:t>
            </w:r>
            <w:r>
              <w:rPr>
                <w:sz w:val="24"/>
                <w:szCs w:val="24"/>
              </w:rPr>
              <w:t>90 703 980</w:t>
            </w:r>
            <w:r w:rsidRPr="00385498">
              <w:rPr>
                <w:sz w:val="24"/>
                <w:szCs w:val="24"/>
              </w:rPr>
              <w:t>;</w:t>
            </w:r>
          </w:p>
          <w:p w:rsidR="000D2E61" w:rsidRPr="00385498" w:rsidRDefault="000D2E61" w:rsidP="000D2E61">
            <w:pPr>
              <w:adjustRightInd w:val="0"/>
              <w:ind w:firstLine="540"/>
              <w:jc w:val="both"/>
              <w:rPr>
                <w:sz w:val="24"/>
                <w:szCs w:val="24"/>
              </w:rPr>
            </w:pPr>
            <w:proofErr w:type="gramStart"/>
            <w:r w:rsidRPr="00385498">
              <w:rPr>
                <w:sz w:val="24"/>
                <w:szCs w:val="24"/>
              </w:rPr>
              <w:t xml:space="preserve">2.9.2 доля (в процентах) голосов, приходящихся на голосующие акции (доли), составляющие уставный капитал эмитента, которым имело право распоряжаться </w:t>
            </w:r>
            <w:proofErr w:type="spellStart"/>
            <w:r w:rsidRPr="00385498">
              <w:rPr>
                <w:sz w:val="24"/>
                <w:szCs w:val="24"/>
              </w:rPr>
              <w:t>лицодо</w:t>
            </w:r>
            <w:proofErr w:type="spellEnd"/>
            <w:r w:rsidRPr="00385498">
              <w:rPr>
                <w:sz w:val="24"/>
                <w:szCs w:val="24"/>
              </w:rPr>
              <w:t xml:space="preserve"> наступления основания, в силу которого это лицо приобрело право распоряжаться определенным количеством голосов, приходящихся на голосующие акции (доли), составляющие уставный капитал эмитента, с учетом и без учета действия (влияния) указанного фактора: 0/0;</w:t>
            </w:r>
            <w:proofErr w:type="gramEnd"/>
          </w:p>
          <w:p w:rsidR="00EA1DAB" w:rsidRPr="000D2E61" w:rsidRDefault="000D2E61" w:rsidP="000D2E61">
            <w:pPr>
              <w:tabs>
                <w:tab w:val="left" w:pos="1134"/>
              </w:tabs>
              <w:ind w:firstLine="567"/>
              <w:jc w:val="both"/>
              <w:rPr>
                <w:sz w:val="24"/>
                <w:szCs w:val="24"/>
              </w:rPr>
            </w:pPr>
            <w:proofErr w:type="gramStart"/>
            <w:r w:rsidRPr="000D2E61">
              <w:rPr>
                <w:sz w:val="24"/>
                <w:szCs w:val="24"/>
              </w:rPr>
              <w:t>2.9.3 доля (в процентах) голосов, приходящихся на голосующие акции (доли), составляющие уставный капитал эмитента, которым получило право распоряжаться лицо после наступления основания, в силу которого это лицо приобрело право распоряжаться определенным количеством голосов, приходящихся на голосующие акции (доли), составляющие уставный капитал эмитента, с учетом и без учета действия (влияния) указанного фактора: 22,6706 %/24,4081 %.</w:t>
            </w:r>
            <w:proofErr w:type="gramEnd"/>
          </w:p>
        </w:tc>
      </w:tr>
    </w:tbl>
    <w:p w:rsidR="00EA1DAB" w:rsidRDefault="00EA1DAB" w:rsidP="00EA1DAB">
      <w:pPr>
        <w:rPr>
          <w:sz w:val="24"/>
          <w:szCs w:val="24"/>
        </w:rPr>
      </w:pPr>
    </w:p>
    <w:tbl>
      <w:tblPr>
        <w:tblW w:w="9980" w:type="dxa"/>
        <w:tblLayout w:type="fixed"/>
        <w:tblCellMar>
          <w:left w:w="28" w:type="dxa"/>
          <w:right w:w="28" w:type="dxa"/>
        </w:tblCellMar>
        <w:tblLook w:val="0000"/>
      </w:tblPr>
      <w:tblGrid>
        <w:gridCol w:w="567"/>
        <w:gridCol w:w="510"/>
        <w:gridCol w:w="198"/>
        <w:gridCol w:w="397"/>
        <w:gridCol w:w="255"/>
        <w:gridCol w:w="1418"/>
        <w:gridCol w:w="397"/>
        <w:gridCol w:w="340"/>
        <w:gridCol w:w="29"/>
        <w:gridCol w:w="368"/>
        <w:gridCol w:w="1985"/>
        <w:gridCol w:w="397"/>
        <w:gridCol w:w="2835"/>
        <w:gridCol w:w="284"/>
      </w:tblGrid>
      <w:tr w:rsidR="00EA1DAB" w:rsidTr="004A463F">
        <w:tc>
          <w:tcPr>
            <w:tcW w:w="9980" w:type="dxa"/>
            <w:gridSpan w:val="14"/>
            <w:tcBorders>
              <w:top w:val="single" w:sz="4" w:space="0" w:color="auto"/>
              <w:left w:val="single" w:sz="4" w:space="0" w:color="auto"/>
              <w:bottom w:val="single" w:sz="4" w:space="0" w:color="auto"/>
              <w:right w:val="single" w:sz="4" w:space="0" w:color="auto"/>
            </w:tcBorders>
          </w:tcPr>
          <w:p w:rsidR="00EA1DAB" w:rsidRDefault="00EA1DAB" w:rsidP="00FD22EF">
            <w:pPr>
              <w:jc w:val="center"/>
              <w:rPr>
                <w:sz w:val="24"/>
                <w:szCs w:val="24"/>
              </w:rPr>
            </w:pPr>
            <w:r>
              <w:rPr>
                <w:sz w:val="24"/>
                <w:szCs w:val="24"/>
              </w:rPr>
              <w:t>3. Подпись</w:t>
            </w:r>
          </w:p>
        </w:tc>
      </w:tr>
      <w:tr w:rsidR="00FD22EF" w:rsidTr="004A463F">
        <w:tc>
          <w:tcPr>
            <w:tcW w:w="567" w:type="dxa"/>
            <w:tcBorders>
              <w:top w:val="single" w:sz="4" w:space="0" w:color="auto"/>
              <w:left w:val="single" w:sz="4" w:space="0" w:color="auto"/>
            </w:tcBorders>
            <w:vAlign w:val="bottom"/>
          </w:tcPr>
          <w:p w:rsidR="00FD22EF" w:rsidRPr="009F0150" w:rsidRDefault="00FD22EF" w:rsidP="00FD22EF">
            <w:pPr>
              <w:ind w:left="57"/>
              <w:rPr>
                <w:sz w:val="24"/>
                <w:szCs w:val="24"/>
              </w:rPr>
            </w:pPr>
            <w:r>
              <w:rPr>
                <w:sz w:val="24"/>
                <w:szCs w:val="24"/>
              </w:rPr>
              <w:t>3.1.</w:t>
            </w:r>
          </w:p>
        </w:tc>
        <w:tc>
          <w:tcPr>
            <w:tcW w:w="3515" w:type="dxa"/>
            <w:gridSpan w:val="7"/>
            <w:tcBorders>
              <w:top w:val="single" w:sz="4" w:space="0" w:color="auto"/>
              <w:bottom w:val="single" w:sz="4" w:space="0" w:color="auto"/>
            </w:tcBorders>
            <w:vAlign w:val="bottom"/>
          </w:tcPr>
          <w:p w:rsidR="00FD22EF" w:rsidRPr="009F0150" w:rsidRDefault="000A653B" w:rsidP="00FD22EF">
            <w:pPr>
              <w:jc w:val="center"/>
              <w:rPr>
                <w:sz w:val="24"/>
                <w:szCs w:val="24"/>
              </w:rPr>
            </w:pPr>
            <w:r>
              <w:rPr>
                <w:sz w:val="24"/>
                <w:szCs w:val="24"/>
              </w:rPr>
              <w:t>Генеральный директор</w:t>
            </w:r>
          </w:p>
        </w:tc>
        <w:tc>
          <w:tcPr>
            <w:tcW w:w="397" w:type="dxa"/>
            <w:gridSpan w:val="2"/>
            <w:tcBorders>
              <w:top w:val="single" w:sz="4" w:space="0" w:color="auto"/>
            </w:tcBorders>
            <w:vAlign w:val="bottom"/>
          </w:tcPr>
          <w:p w:rsidR="00FD22EF" w:rsidRPr="009F0150" w:rsidRDefault="00FD22EF" w:rsidP="00FD22EF">
            <w:pPr>
              <w:jc w:val="center"/>
              <w:rPr>
                <w:sz w:val="24"/>
                <w:szCs w:val="24"/>
              </w:rPr>
            </w:pPr>
          </w:p>
        </w:tc>
        <w:tc>
          <w:tcPr>
            <w:tcW w:w="1985" w:type="dxa"/>
            <w:tcBorders>
              <w:top w:val="single" w:sz="4" w:space="0" w:color="auto"/>
              <w:bottom w:val="single" w:sz="4" w:space="0" w:color="auto"/>
            </w:tcBorders>
            <w:vAlign w:val="bottom"/>
          </w:tcPr>
          <w:p w:rsidR="00FD22EF" w:rsidRDefault="00FD22EF" w:rsidP="00FD22EF">
            <w:pPr>
              <w:jc w:val="center"/>
              <w:rPr>
                <w:sz w:val="24"/>
                <w:szCs w:val="24"/>
              </w:rPr>
            </w:pPr>
          </w:p>
        </w:tc>
        <w:tc>
          <w:tcPr>
            <w:tcW w:w="397" w:type="dxa"/>
            <w:tcBorders>
              <w:top w:val="single" w:sz="4" w:space="0" w:color="auto"/>
            </w:tcBorders>
            <w:vAlign w:val="bottom"/>
          </w:tcPr>
          <w:p w:rsidR="00FD22EF" w:rsidRDefault="00FD22EF" w:rsidP="00FD22EF">
            <w:pPr>
              <w:rPr>
                <w:sz w:val="24"/>
                <w:szCs w:val="24"/>
              </w:rPr>
            </w:pPr>
          </w:p>
        </w:tc>
        <w:tc>
          <w:tcPr>
            <w:tcW w:w="2835" w:type="dxa"/>
            <w:tcBorders>
              <w:top w:val="single" w:sz="4" w:space="0" w:color="auto"/>
              <w:bottom w:val="single" w:sz="4" w:space="0" w:color="auto"/>
            </w:tcBorders>
            <w:vAlign w:val="bottom"/>
          </w:tcPr>
          <w:p w:rsidR="00FD22EF" w:rsidRPr="009E56F5" w:rsidRDefault="009E56F5" w:rsidP="00FD22EF">
            <w:pPr>
              <w:jc w:val="center"/>
              <w:rPr>
                <w:sz w:val="24"/>
                <w:szCs w:val="24"/>
              </w:rPr>
            </w:pPr>
            <w:r>
              <w:rPr>
                <w:sz w:val="24"/>
                <w:szCs w:val="24"/>
              </w:rPr>
              <w:t>Д.М. Кауль</w:t>
            </w:r>
          </w:p>
        </w:tc>
        <w:tc>
          <w:tcPr>
            <w:tcW w:w="284" w:type="dxa"/>
            <w:tcBorders>
              <w:top w:val="single" w:sz="4" w:space="0" w:color="auto"/>
              <w:right w:val="single" w:sz="4" w:space="0" w:color="auto"/>
            </w:tcBorders>
            <w:vAlign w:val="bottom"/>
          </w:tcPr>
          <w:p w:rsidR="00FD22EF" w:rsidRDefault="00FD22EF" w:rsidP="00FD22EF">
            <w:pPr>
              <w:rPr>
                <w:sz w:val="24"/>
                <w:szCs w:val="24"/>
              </w:rPr>
            </w:pPr>
          </w:p>
        </w:tc>
      </w:tr>
      <w:tr w:rsidR="00FD22EF" w:rsidRPr="00FD22EF" w:rsidTr="004A463F">
        <w:tc>
          <w:tcPr>
            <w:tcW w:w="567" w:type="dxa"/>
            <w:tcBorders>
              <w:left w:val="single" w:sz="4" w:space="0" w:color="auto"/>
              <w:bottom w:val="nil"/>
            </w:tcBorders>
          </w:tcPr>
          <w:p w:rsidR="00FD22EF" w:rsidRPr="00FD22EF" w:rsidRDefault="00FD22EF" w:rsidP="00FD22EF">
            <w:pPr>
              <w:ind w:left="57"/>
            </w:pPr>
          </w:p>
        </w:tc>
        <w:tc>
          <w:tcPr>
            <w:tcW w:w="3515" w:type="dxa"/>
            <w:gridSpan w:val="7"/>
            <w:tcBorders>
              <w:bottom w:val="nil"/>
            </w:tcBorders>
          </w:tcPr>
          <w:p w:rsidR="00FD22EF" w:rsidRPr="00FD22EF" w:rsidRDefault="00FD22EF" w:rsidP="004A463F">
            <w:pPr>
              <w:spacing w:after="240"/>
              <w:jc w:val="center"/>
            </w:pPr>
            <w:r w:rsidRPr="00FD22EF">
              <w:t>(наименование должности уполномоченного лица эмитента)</w:t>
            </w:r>
          </w:p>
        </w:tc>
        <w:tc>
          <w:tcPr>
            <w:tcW w:w="397" w:type="dxa"/>
            <w:gridSpan w:val="2"/>
            <w:tcBorders>
              <w:bottom w:val="nil"/>
            </w:tcBorders>
          </w:tcPr>
          <w:p w:rsidR="00FD22EF" w:rsidRPr="00FD22EF" w:rsidRDefault="00FD22EF" w:rsidP="00FD22EF">
            <w:pPr>
              <w:jc w:val="center"/>
            </w:pPr>
          </w:p>
        </w:tc>
        <w:tc>
          <w:tcPr>
            <w:tcW w:w="1985" w:type="dxa"/>
            <w:tcBorders>
              <w:top w:val="nil"/>
              <w:bottom w:val="nil"/>
            </w:tcBorders>
          </w:tcPr>
          <w:p w:rsidR="00FD22EF" w:rsidRPr="000A653B" w:rsidRDefault="00FD22EF" w:rsidP="00FD22EF">
            <w:pPr>
              <w:jc w:val="center"/>
            </w:pPr>
            <w:r w:rsidRPr="00FD22EF">
              <w:t>(подпись)</w:t>
            </w:r>
          </w:p>
        </w:tc>
        <w:tc>
          <w:tcPr>
            <w:tcW w:w="397" w:type="dxa"/>
            <w:tcBorders>
              <w:top w:val="nil"/>
              <w:bottom w:val="nil"/>
            </w:tcBorders>
          </w:tcPr>
          <w:p w:rsidR="00FD22EF" w:rsidRPr="00FD22EF" w:rsidRDefault="00FD22EF" w:rsidP="00FD22EF"/>
        </w:tc>
        <w:tc>
          <w:tcPr>
            <w:tcW w:w="2835" w:type="dxa"/>
            <w:tcBorders>
              <w:top w:val="nil"/>
              <w:bottom w:val="nil"/>
            </w:tcBorders>
          </w:tcPr>
          <w:p w:rsidR="00FD22EF" w:rsidRPr="00FD22EF" w:rsidRDefault="00FD22EF" w:rsidP="00FD22EF">
            <w:pPr>
              <w:jc w:val="center"/>
            </w:pPr>
            <w:r w:rsidRPr="00FD22EF">
              <w:t>(И.О. Фамилия)</w:t>
            </w:r>
          </w:p>
        </w:tc>
        <w:tc>
          <w:tcPr>
            <w:tcW w:w="284" w:type="dxa"/>
            <w:tcBorders>
              <w:top w:val="nil"/>
              <w:bottom w:val="nil"/>
              <w:right w:val="single" w:sz="4" w:space="0" w:color="auto"/>
            </w:tcBorders>
          </w:tcPr>
          <w:p w:rsidR="00FD22EF" w:rsidRPr="00FD22EF" w:rsidRDefault="00FD22EF" w:rsidP="00FD22EF"/>
        </w:tc>
      </w:tr>
      <w:tr w:rsidR="004A463F" w:rsidTr="004A463F">
        <w:tc>
          <w:tcPr>
            <w:tcW w:w="1077" w:type="dxa"/>
            <w:gridSpan w:val="2"/>
            <w:tcBorders>
              <w:top w:val="nil"/>
              <w:left w:val="single" w:sz="4" w:space="0" w:color="auto"/>
              <w:bottom w:val="nil"/>
              <w:right w:val="nil"/>
            </w:tcBorders>
            <w:vAlign w:val="bottom"/>
          </w:tcPr>
          <w:p w:rsidR="004A463F" w:rsidRDefault="004A463F" w:rsidP="004A463F">
            <w:pPr>
              <w:ind w:left="57"/>
              <w:rPr>
                <w:sz w:val="24"/>
                <w:szCs w:val="24"/>
              </w:rPr>
            </w:pPr>
            <w:r>
              <w:rPr>
                <w:sz w:val="24"/>
                <w:szCs w:val="24"/>
              </w:rPr>
              <w:t>3.2. Дата</w:t>
            </w:r>
          </w:p>
        </w:tc>
        <w:tc>
          <w:tcPr>
            <w:tcW w:w="198" w:type="dxa"/>
            <w:tcBorders>
              <w:top w:val="nil"/>
              <w:left w:val="nil"/>
              <w:bottom w:val="nil"/>
              <w:right w:val="nil"/>
            </w:tcBorders>
            <w:vAlign w:val="bottom"/>
          </w:tcPr>
          <w:p w:rsidR="004A463F" w:rsidRPr="009B11DE" w:rsidRDefault="004A463F" w:rsidP="004A463F">
            <w:pPr>
              <w:jc w:val="right"/>
              <w:rPr>
                <w:sz w:val="24"/>
                <w:szCs w:val="24"/>
              </w:rPr>
            </w:pPr>
            <w:r w:rsidRPr="009B11DE">
              <w:rPr>
                <w:sz w:val="24"/>
                <w:szCs w:val="24"/>
              </w:rPr>
              <w:t>«</w:t>
            </w:r>
          </w:p>
        </w:tc>
        <w:tc>
          <w:tcPr>
            <w:tcW w:w="397" w:type="dxa"/>
            <w:tcBorders>
              <w:top w:val="nil"/>
              <w:left w:val="nil"/>
              <w:bottom w:val="single" w:sz="4" w:space="0" w:color="auto"/>
              <w:right w:val="nil"/>
            </w:tcBorders>
            <w:vAlign w:val="bottom"/>
          </w:tcPr>
          <w:p w:rsidR="004A463F" w:rsidRPr="005648ED" w:rsidRDefault="00B87147" w:rsidP="004A463F">
            <w:pPr>
              <w:jc w:val="center"/>
              <w:rPr>
                <w:sz w:val="24"/>
                <w:szCs w:val="24"/>
              </w:rPr>
            </w:pPr>
            <w:r>
              <w:rPr>
                <w:sz w:val="24"/>
                <w:szCs w:val="24"/>
              </w:rPr>
              <w:t>28</w:t>
            </w:r>
          </w:p>
        </w:tc>
        <w:tc>
          <w:tcPr>
            <w:tcW w:w="255" w:type="dxa"/>
            <w:tcBorders>
              <w:top w:val="nil"/>
              <w:left w:val="nil"/>
              <w:bottom w:val="nil"/>
              <w:right w:val="nil"/>
            </w:tcBorders>
            <w:vAlign w:val="bottom"/>
          </w:tcPr>
          <w:p w:rsidR="004A463F" w:rsidRPr="009B11DE" w:rsidRDefault="004A463F" w:rsidP="004A463F">
            <w:pPr>
              <w:rPr>
                <w:sz w:val="24"/>
                <w:szCs w:val="24"/>
              </w:rPr>
            </w:pPr>
            <w:r w:rsidRPr="009B11DE">
              <w:rPr>
                <w:sz w:val="24"/>
                <w:szCs w:val="24"/>
              </w:rPr>
              <w:t>»</w:t>
            </w:r>
          </w:p>
        </w:tc>
        <w:tc>
          <w:tcPr>
            <w:tcW w:w="1418" w:type="dxa"/>
            <w:tcBorders>
              <w:top w:val="nil"/>
              <w:left w:val="nil"/>
              <w:bottom w:val="single" w:sz="4" w:space="0" w:color="auto"/>
              <w:right w:val="nil"/>
            </w:tcBorders>
            <w:vAlign w:val="bottom"/>
          </w:tcPr>
          <w:p w:rsidR="004A463F" w:rsidRPr="009B11DE" w:rsidRDefault="005648ED" w:rsidP="004A463F">
            <w:pPr>
              <w:jc w:val="center"/>
              <w:rPr>
                <w:sz w:val="24"/>
                <w:szCs w:val="24"/>
              </w:rPr>
            </w:pPr>
            <w:r>
              <w:rPr>
                <w:sz w:val="24"/>
                <w:szCs w:val="24"/>
              </w:rPr>
              <w:t>дека</w:t>
            </w:r>
            <w:r w:rsidR="000A653B" w:rsidRPr="009B11DE">
              <w:rPr>
                <w:sz w:val="24"/>
                <w:szCs w:val="24"/>
              </w:rPr>
              <w:t>бря</w:t>
            </w:r>
          </w:p>
        </w:tc>
        <w:tc>
          <w:tcPr>
            <w:tcW w:w="397" w:type="dxa"/>
            <w:tcBorders>
              <w:top w:val="nil"/>
              <w:left w:val="nil"/>
              <w:bottom w:val="nil"/>
              <w:right w:val="nil"/>
            </w:tcBorders>
            <w:vAlign w:val="bottom"/>
          </w:tcPr>
          <w:p w:rsidR="004A463F" w:rsidRPr="009B11DE" w:rsidRDefault="004A463F" w:rsidP="004A463F">
            <w:pPr>
              <w:jc w:val="right"/>
              <w:rPr>
                <w:sz w:val="24"/>
                <w:szCs w:val="24"/>
              </w:rPr>
            </w:pPr>
            <w:r w:rsidRPr="009B11DE">
              <w:rPr>
                <w:sz w:val="24"/>
                <w:szCs w:val="24"/>
              </w:rPr>
              <w:t>20</w:t>
            </w:r>
          </w:p>
        </w:tc>
        <w:tc>
          <w:tcPr>
            <w:tcW w:w="369" w:type="dxa"/>
            <w:gridSpan w:val="2"/>
            <w:tcBorders>
              <w:top w:val="nil"/>
              <w:left w:val="nil"/>
              <w:bottom w:val="single" w:sz="4" w:space="0" w:color="auto"/>
              <w:right w:val="nil"/>
            </w:tcBorders>
            <w:vAlign w:val="bottom"/>
          </w:tcPr>
          <w:p w:rsidR="004A463F" w:rsidRPr="009B11DE" w:rsidRDefault="000A653B" w:rsidP="004A463F">
            <w:pPr>
              <w:rPr>
                <w:sz w:val="24"/>
                <w:szCs w:val="24"/>
              </w:rPr>
            </w:pPr>
            <w:r w:rsidRPr="009B11DE">
              <w:rPr>
                <w:sz w:val="24"/>
                <w:szCs w:val="24"/>
              </w:rPr>
              <w:t>21</w:t>
            </w:r>
          </w:p>
        </w:tc>
        <w:tc>
          <w:tcPr>
            <w:tcW w:w="5868" w:type="dxa"/>
            <w:gridSpan w:val="5"/>
            <w:tcBorders>
              <w:top w:val="nil"/>
              <w:left w:val="nil"/>
              <w:bottom w:val="nil"/>
              <w:right w:val="single" w:sz="4" w:space="0" w:color="auto"/>
            </w:tcBorders>
            <w:vAlign w:val="bottom"/>
          </w:tcPr>
          <w:p w:rsidR="004A463F" w:rsidRPr="009B11DE" w:rsidRDefault="004A463F" w:rsidP="004A463F">
            <w:pPr>
              <w:ind w:left="57"/>
              <w:rPr>
                <w:sz w:val="24"/>
                <w:szCs w:val="24"/>
              </w:rPr>
            </w:pPr>
            <w:proofErr w:type="gramStart"/>
            <w:r w:rsidRPr="009B11DE">
              <w:rPr>
                <w:sz w:val="24"/>
                <w:szCs w:val="24"/>
              </w:rPr>
              <w:t>г</w:t>
            </w:r>
            <w:proofErr w:type="gramEnd"/>
            <w:r w:rsidRPr="009B11DE">
              <w:rPr>
                <w:sz w:val="24"/>
                <w:szCs w:val="24"/>
              </w:rPr>
              <w:t>.</w:t>
            </w:r>
          </w:p>
        </w:tc>
      </w:tr>
      <w:tr w:rsidR="00EA1DAB" w:rsidTr="004A463F">
        <w:tc>
          <w:tcPr>
            <w:tcW w:w="9979" w:type="dxa"/>
            <w:gridSpan w:val="14"/>
            <w:tcBorders>
              <w:top w:val="nil"/>
              <w:left w:val="single" w:sz="4" w:space="0" w:color="auto"/>
              <w:bottom w:val="single" w:sz="4" w:space="0" w:color="auto"/>
              <w:right w:val="single" w:sz="4" w:space="0" w:color="auto"/>
            </w:tcBorders>
          </w:tcPr>
          <w:p w:rsidR="00EA1DAB" w:rsidRDefault="00EA1DAB" w:rsidP="00FD22EF">
            <w:pPr>
              <w:rPr>
                <w:sz w:val="24"/>
                <w:szCs w:val="24"/>
              </w:rPr>
            </w:pPr>
          </w:p>
        </w:tc>
      </w:tr>
    </w:tbl>
    <w:p w:rsidR="00EA1DAB" w:rsidRDefault="00EA1DAB" w:rsidP="00EA1DAB">
      <w:pPr>
        <w:rPr>
          <w:sz w:val="24"/>
          <w:szCs w:val="24"/>
        </w:rPr>
      </w:pPr>
    </w:p>
    <w:sectPr w:rsidR="00EA1DAB" w:rsidSect="00FE6D30">
      <w:headerReference w:type="default" r:id="rId9"/>
      <w:pgSz w:w="11907" w:h="16840" w:code="9"/>
      <w:pgMar w:top="851" w:right="851" w:bottom="567" w:left="1134" w:header="397" w:footer="397" w:gutter="0"/>
      <w:cols w:space="709"/>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085" w:rsidRDefault="00974085">
      <w:r>
        <w:separator/>
      </w:r>
    </w:p>
  </w:endnote>
  <w:endnote w:type="continuationSeparator" w:id="0">
    <w:p w:rsidR="00974085" w:rsidRDefault="00974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085" w:rsidRDefault="00974085">
      <w:r>
        <w:separator/>
      </w:r>
    </w:p>
  </w:footnote>
  <w:footnote w:type="continuationSeparator" w:id="0">
    <w:p w:rsidR="00974085" w:rsidRDefault="00974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2EF" w:rsidRDefault="00FD22EF">
    <w:pPr>
      <w:pStyle w:val="a3"/>
      <w:tabs>
        <w:tab w:val="clear" w:pos="4153"/>
        <w:tab w:val="clear" w:pos="8306"/>
      </w:tabs>
      <w:jc w:val="right"/>
      <w:rPr>
        <w:b/>
        <w:bCs/>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A2285"/>
    <w:multiLevelType w:val="hybridMultilevel"/>
    <w:tmpl w:val="03B0CEF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nsid w:val="206E59F6"/>
    <w:multiLevelType w:val="hybridMultilevel"/>
    <w:tmpl w:val="15F266D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3B8A61B6"/>
    <w:multiLevelType w:val="hybridMultilevel"/>
    <w:tmpl w:val="A85447D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rsids>
    <w:rsidRoot w:val="00064425"/>
    <w:rsid w:val="00064425"/>
    <w:rsid w:val="00082E73"/>
    <w:rsid w:val="000A653B"/>
    <w:rsid w:val="000D2E61"/>
    <w:rsid w:val="00133BF7"/>
    <w:rsid w:val="00171AA4"/>
    <w:rsid w:val="00193829"/>
    <w:rsid w:val="001A6D8D"/>
    <w:rsid w:val="00251399"/>
    <w:rsid w:val="0030024D"/>
    <w:rsid w:val="00313B44"/>
    <w:rsid w:val="004A463F"/>
    <w:rsid w:val="00522ED7"/>
    <w:rsid w:val="0053182B"/>
    <w:rsid w:val="005648ED"/>
    <w:rsid w:val="00657C4E"/>
    <w:rsid w:val="006723A0"/>
    <w:rsid w:val="007272F0"/>
    <w:rsid w:val="007303B2"/>
    <w:rsid w:val="009519B6"/>
    <w:rsid w:val="00974085"/>
    <w:rsid w:val="009B11DE"/>
    <w:rsid w:val="009E5189"/>
    <w:rsid w:val="009E56F5"/>
    <w:rsid w:val="009F0150"/>
    <w:rsid w:val="00A02E37"/>
    <w:rsid w:val="00AD1148"/>
    <w:rsid w:val="00AE20FA"/>
    <w:rsid w:val="00B053DA"/>
    <w:rsid w:val="00B23577"/>
    <w:rsid w:val="00B66943"/>
    <w:rsid w:val="00B87147"/>
    <w:rsid w:val="00CE6362"/>
    <w:rsid w:val="00D1279C"/>
    <w:rsid w:val="00D17DC5"/>
    <w:rsid w:val="00D23122"/>
    <w:rsid w:val="00E1651A"/>
    <w:rsid w:val="00E54E5B"/>
    <w:rsid w:val="00EA1DAB"/>
    <w:rsid w:val="00FD22EF"/>
    <w:rsid w:val="00FE6D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D30"/>
    <w:pPr>
      <w:autoSpaceDE w:val="0"/>
      <w:autoSpaceDN w:val="0"/>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E6D30"/>
    <w:pPr>
      <w:tabs>
        <w:tab w:val="center" w:pos="4153"/>
        <w:tab w:val="right" w:pos="8306"/>
      </w:tabs>
    </w:pPr>
  </w:style>
  <w:style w:type="character" w:customStyle="1" w:styleId="a4">
    <w:name w:val="Верхний колонтитул Знак"/>
    <w:basedOn w:val="a0"/>
    <w:link w:val="a3"/>
    <w:uiPriority w:val="99"/>
    <w:semiHidden/>
    <w:rsid w:val="00FE6D30"/>
    <w:rPr>
      <w:sz w:val="20"/>
      <w:szCs w:val="20"/>
    </w:rPr>
  </w:style>
  <w:style w:type="paragraph" w:styleId="a5">
    <w:name w:val="footer"/>
    <w:basedOn w:val="a"/>
    <w:link w:val="a6"/>
    <w:uiPriority w:val="99"/>
    <w:rsid w:val="00FE6D30"/>
    <w:pPr>
      <w:tabs>
        <w:tab w:val="center" w:pos="4153"/>
        <w:tab w:val="right" w:pos="8306"/>
      </w:tabs>
    </w:pPr>
  </w:style>
  <w:style w:type="character" w:customStyle="1" w:styleId="a6">
    <w:name w:val="Нижний колонтитул Знак"/>
    <w:basedOn w:val="a0"/>
    <w:link w:val="a5"/>
    <w:uiPriority w:val="99"/>
    <w:semiHidden/>
    <w:rsid w:val="00FE6D30"/>
    <w:rPr>
      <w:sz w:val="20"/>
      <w:szCs w:val="20"/>
    </w:rPr>
  </w:style>
  <w:style w:type="paragraph" w:styleId="a7">
    <w:name w:val="footnote text"/>
    <w:basedOn w:val="a"/>
    <w:link w:val="a8"/>
    <w:uiPriority w:val="99"/>
    <w:semiHidden/>
    <w:rsid w:val="00FE6D30"/>
  </w:style>
  <w:style w:type="character" w:customStyle="1" w:styleId="a8">
    <w:name w:val="Текст сноски Знак"/>
    <w:basedOn w:val="a0"/>
    <w:link w:val="a7"/>
    <w:uiPriority w:val="99"/>
    <w:semiHidden/>
    <w:rsid w:val="00FE6D30"/>
    <w:rPr>
      <w:sz w:val="20"/>
      <w:szCs w:val="20"/>
    </w:rPr>
  </w:style>
  <w:style w:type="character" w:styleId="a9">
    <w:name w:val="footnote reference"/>
    <w:basedOn w:val="a0"/>
    <w:uiPriority w:val="99"/>
    <w:semiHidden/>
    <w:rsid w:val="00FE6D30"/>
    <w:rPr>
      <w:rFonts w:cs="Times New Roman"/>
      <w:vertAlign w:val="superscript"/>
    </w:rPr>
  </w:style>
  <w:style w:type="paragraph" w:customStyle="1" w:styleId="ConsNormal">
    <w:name w:val="ConsNormal"/>
    <w:uiPriority w:val="99"/>
    <w:rsid w:val="00A02E37"/>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rsid w:val="00A02E37"/>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rsid w:val="00A02E37"/>
    <w:pPr>
      <w:autoSpaceDE w:val="0"/>
      <w:autoSpaceDN w:val="0"/>
      <w:adjustRightInd w:val="0"/>
      <w:spacing w:after="0" w:line="240" w:lineRule="auto"/>
      <w:jc w:val="both"/>
    </w:pPr>
    <w:rPr>
      <w:sz w:val="24"/>
      <w:szCs w:val="24"/>
    </w:rPr>
  </w:style>
  <w:style w:type="paragraph" w:styleId="aa">
    <w:name w:val="List Paragraph"/>
    <w:basedOn w:val="a"/>
    <w:link w:val="ab"/>
    <w:uiPriority w:val="99"/>
    <w:qFormat/>
    <w:rsid w:val="000A653B"/>
    <w:pPr>
      <w:autoSpaceDE/>
      <w:autoSpaceDN/>
      <w:ind w:left="720"/>
      <w:contextualSpacing/>
    </w:pPr>
  </w:style>
  <w:style w:type="character" w:customStyle="1" w:styleId="ab">
    <w:name w:val="Абзац списка Знак"/>
    <w:link w:val="aa"/>
    <w:uiPriority w:val="99"/>
    <w:rsid w:val="000A653B"/>
    <w:rPr>
      <w:sz w:val="20"/>
      <w:szCs w:val="20"/>
    </w:rPr>
  </w:style>
  <w:style w:type="character" w:styleId="ac">
    <w:name w:val="Hyperlink"/>
    <w:basedOn w:val="a0"/>
    <w:rsid w:val="0053182B"/>
    <w:rPr>
      <w:rFonts w:cs="Times New Roman"/>
      <w:color w:val="0000FF"/>
      <w:u w:val="single"/>
    </w:rPr>
  </w:style>
  <w:style w:type="character" w:styleId="ad">
    <w:name w:val="FollowedHyperlink"/>
    <w:basedOn w:val="a0"/>
    <w:uiPriority w:val="99"/>
    <w:semiHidden/>
    <w:unhideWhenUsed/>
    <w:rsid w:val="0053182B"/>
    <w:rPr>
      <w:color w:val="800080" w:themeColor="followedHyperlink"/>
      <w:u w:val="single"/>
    </w:rPr>
  </w:style>
  <w:style w:type="paragraph" w:customStyle="1" w:styleId="p7">
    <w:name w:val="p7"/>
    <w:basedOn w:val="a"/>
    <w:rsid w:val="00171AA4"/>
    <w:pPr>
      <w:autoSpaceDE/>
      <w:autoSpaceDN/>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sbyt.ru/index.php?do=cat&amp;category=share_info" TargetMode="External"/><Relationship Id="rId3" Type="http://schemas.openxmlformats.org/officeDocument/2006/relationships/settings" Target="settings.xml"/><Relationship Id="rId7" Type="http://schemas.openxmlformats.org/officeDocument/2006/relationships/hyperlink" Target="http://www.e-disclosure.ru/portal/company.aspx?id=596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617</Words>
  <Characters>4864</Characters>
  <Application>Microsoft Office Word</Application>
  <DocSecurity>0</DocSecurity>
  <Lines>40</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ПарамоноваСА</cp:lastModifiedBy>
  <cp:revision>3</cp:revision>
  <cp:lastPrinted>2021-11-29T06:26:00Z</cp:lastPrinted>
  <dcterms:created xsi:type="dcterms:W3CDTF">2021-12-28T05:50:00Z</dcterms:created>
  <dcterms:modified xsi:type="dcterms:W3CDTF">2021-12-28T05:54:00Z</dcterms:modified>
</cp:coreProperties>
</file>