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A576D9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3746EA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74967">
              <w:rPr>
                <w:sz w:val="24"/>
                <w:szCs w:val="24"/>
              </w:rPr>
              <w:t>.0</w:t>
            </w:r>
            <w:r w:rsidR="00736665">
              <w:rPr>
                <w:sz w:val="24"/>
                <w:szCs w:val="24"/>
              </w:rPr>
              <w:t>6</w:t>
            </w:r>
            <w:r w:rsidR="009D2567" w:rsidRPr="009D2567">
              <w:rPr>
                <w:sz w:val="24"/>
                <w:szCs w:val="24"/>
              </w:rPr>
              <w:t>.201</w:t>
            </w:r>
            <w:r w:rsidR="00F74967">
              <w:rPr>
                <w:sz w:val="24"/>
                <w:szCs w:val="24"/>
              </w:rPr>
              <w:t>9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736665">
              <w:rPr>
                <w:sz w:val="24"/>
                <w:szCs w:val="24"/>
              </w:rPr>
              <w:t>13</w:t>
            </w:r>
            <w:r w:rsidR="00F74967">
              <w:rPr>
                <w:sz w:val="24"/>
                <w:szCs w:val="24"/>
              </w:rPr>
              <w:t>.0</w:t>
            </w:r>
            <w:r w:rsidR="00736665">
              <w:rPr>
                <w:sz w:val="24"/>
                <w:szCs w:val="24"/>
              </w:rPr>
              <w:t>6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292CB5" w:rsidRDefault="00756A21" w:rsidP="000C487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736665">
              <w:rPr>
                <w:sz w:val="24"/>
                <w:szCs w:val="24"/>
              </w:rPr>
              <w:t>14</w:t>
            </w:r>
            <w:r w:rsidR="00F74967">
              <w:rPr>
                <w:sz w:val="24"/>
                <w:szCs w:val="24"/>
              </w:rPr>
              <w:t>.0</w:t>
            </w:r>
            <w:r w:rsidR="00736665">
              <w:rPr>
                <w:sz w:val="24"/>
                <w:szCs w:val="24"/>
              </w:rPr>
              <w:t>6</w:t>
            </w:r>
            <w:r w:rsidR="00F74967">
              <w:rPr>
                <w:sz w:val="24"/>
                <w:szCs w:val="24"/>
              </w:rPr>
              <w:t>.2019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3746EA" w:rsidRPr="00184731" w:rsidRDefault="003746EA" w:rsidP="00DE0B5D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184731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1 квартала 2019 года.</w:t>
            </w:r>
          </w:p>
          <w:p w:rsidR="003746EA" w:rsidRPr="00184731" w:rsidRDefault="003746EA" w:rsidP="00DE0B5D">
            <w:pPr>
              <w:pStyle w:val="ae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  <w:rPr>
                <w:sz w:val="24"/>
                <w:szCs w:val="24"/>
              </w:rPr>
            </w:pPr>
            <w:r w:rsidRPr="00184731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за 1 квартал 2019.</w:t>
            </w:r>
          </w:p>
          <w:p w:rsidR="003746EA" w:rsidRPr="00184731" w:rsidRDefault="003746EA" w:rsidP="00DE0B5D">
            <w:pPr>
              <w:pStyle w:val="Default"/>
              <w:numPr>
                <w:ilvl w:val="0"/>
                <w:numId w:val="1"/>
              </w:numPr>
              <w:tabs>
                <w:tab w:val="left" w:pos="851"/>
              </w:tabs>
              <w:ind w:left="0" w:firstLine="567"/>
              <w:jc w:val="both"/>
            </w:pPr>
            <w:r w:rsidRPr="00184731">
              <w:rPr>
                <w:rStyle w:val="s1"/>
                <w:bCs/>
              </w:rPr>
              <w:t>О вознаграждении членов Ревизионной комиссии Общества</w:t>
            </w:r>
            <w:r w:rsidRPr="00184731">
              <w:t>.</w:t>
            </w:r>
          </w:p>
          <w:p w:rsidR="003746EA" w:rsidRDefault="003746EA" w:rsidP="00DE0B5D">
            <w:pPr>
              <w:pStyle w:val="p4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184731">
              <w:t>О единовременном премировании за выполнение особо важного задания.</w:t>
            </w:r>
          </w:p>
          <w:p w:rsidR="000C4875" w:rsidRPr="003746EA" w:rsidRDefault="003746EA" w:rsidP="00DE0B5D">
            <w:pPr>
              <w:pStyle w:val="p4"/>
              <w:numPr>
                <w:ilvl w:val="0"/>
                <w:numId w:val="1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0" w:firstLine="567"/>
              <w:contextualSpacing/>
              <w:jc w:val="both"/>
            </w:pPr>
            <w:r w:rsidRPr="001E68ED">
              <w:t>Об одобрении решения о совершении Обществом сделки, связанной с безвозмездной передачей имущества Общества: о пожертвовании.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3746EA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3746EA" w:rsidP="00CC07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74967">
              <w:rPr>
                <w:sz w:val="24"/>
                <w:szCs w:val="24"/>
              </w:rPr>
              <w:t>9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EA" w:rsidRDefault="003746EA" w:rsidP="00CE18AB">
      <w:pPr>
        <w:pStyle w:val="a3"/>
      </w:pPr>
      <w:r>
        <w:separator/>
      </w:r>
    </w:p>
  </w:endnote>
  <w:endnote w:type="continuationSeparator" w:id="0">
    <w:p w:rsidR="003746EA" w:rsidRDefault="003746E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EA" w:rsidRDefault="003746EA" w:rsidP="00CE18AB">
      <w:pPr>
        <w:pStyle w:val="a3"/>
      </w:pPr>
      <w:r>
        <w:separator/>
      </w:r>
    </w:p>
  </w:footnote>
  <w:footnote w:type="continuationSeparator" w:id="0">
    <w:p w:rsidR="003746EA" w:rsidRDefault="003746E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6EA" w:rsidRDefault="003746E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776B9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6F30"/>
    <w:rsid w:val="002C2628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68C4"/>
    <w:rsid w:val="00523106"/>
    <w:rsid w:val="005329A8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6223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1817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2019-05-17T06:01:00Z</cp:lastPrinted>
  <dcterms:created xsi:type="dcterms:W3CDTF">2019-06-13T05:26:00Z</dcterms:created>
  <dcterms:modified xsi:type="dcterms:W3CDTF">2019-06-13T07:51:00Z</dcterms:modified>
</cp:coreProperties>
</file>