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D2" w:rsidRPr="00F2598A" w:rsidRDefault="00D564D2" w:rsidP="00D564D2">
      <w:pPr>
        <w:adjustRightInd w:val="0"/>
        <w:jc w:val="center"/>
        <w:rPr>
          <w:b/>
          <w:bCs/>
          <w:color w:val="000000"/>
          <w:sz w:val="22"/>
          <w:szCs w:val="22"/>
        </w:rPr>
      </w:pPr>
      <w:r w:rsidRPr="00F2598A">
        <w:rPr>
          <w:b/>
          <w:bCs/>
          <w:color w:val="000000"/>
          <w:sz w:val="22"/>
          <w:szCs w:val="22"/>
        </w:rPr>
        <w:t xml:space="preserve">«Сведения о </w:t>
      </w:r>
      <w:r w:rsidR="00B610FB">
        <w:rPr>
          <w:b/>
          <w:bCs/>
          <w:color w:val="000000"/>
          <w:sz w:val="22"/>
          <w:szCs w:val="22"/>
        </w:rPr>
        <w:t xml:space="preserve">прекращении у лица </w:t>
      </w:r>
      <w:r w:rsidRPr="00F2598A">
        <w:rPr>
          <w:b/>
          <w:bCs/>
          <w:color w:val="000000"/>
          <w:sz w:val="22"/>
          <w:szCs w:val="22"/>
        </w:rPr>
        <w:t>права распоряжаться определенным количеством</w:t>
      </w:r>
    </w:p>
    <w:p w:rsidR="00D564D2" w:rsidRPr="00F2598A" w:rsidRDefault="00D564D2" w:rsidP="00D564D2">
      <w:pPr>
        <w:adjustRightInd w:val="0"/>
        <w:jc w:val="center"/>
        <w:rPr>
          <w:b/>
          <w:bCs/>
          <w:color w:val="000000"/>
          <w:sz w:val="22"/>
          <w:szCs w:val="22"/>
        </w:rPr>
      </w:pPr>
      <w:r w:rsidRPr="00F2598A">
        <w:rPr>
          <w:b/>
          <w:bCs/>
          <w:color w:val="000000"/>
          <w:sz w:val="22"/>
          <w:szCs w:val="22"/>
        </w:rPr>
        <w:t>голосов, приходящихся на голосующие акции, составляющие уставный капитал</w:t>
      </w:r>
    </w:p>
    <w:p w:rsidR="006234EB" w:rsidRPr="00F2598A" w:rsidRDefault="00D564D2" w:rsidP="00F2598A">
      <w:pPr>
        <w:adjustRightInd w:val="0"/>
        <w:jc w:val="center"/>
        <w:rPr>
          <w:b/>
          <w:bCs/>
          <w:color w:val="000000"/>
          <w:sz w:val="22"/>
          <w:szCs w:val="22"/>
        </w:rPr>
      </w:pPr>
      <w:r w:rsidRPr="00F2598A">
        <w:rPr>
          <w:b/>
          <w:bCs/>
          <w:color w:val="000000"/>
          <w:sz w:val="22"/>
          <w:szCs w:val="22"/>
        </w:rPr>
        <w:t>эмитента»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6234EB" w:rsidRPr="00F2598A">
        <w:tc>
          <w:tcPr>
            <w:tcW w:w="10234" w:type="dxa"/>
            <w:gridSpan w:val="2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 Общие сведения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6234EB" w:rsidRPr="00F2598A" w:rsidRDefault="008A6C09" w:rsidP="00F55970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6234EB" w:rsidRPr="00F2598A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6234EB" w:rsidRPr="00F2598A" w:rsidRDefault="00055EC4" w:rsidP="00F55970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234EB" w:rsidRPr="00F2598A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F2598A">
                <w:rPr>
                  <w:sz w:val="22"/>
                  <w:szCs w:val="22"/>
                </w:rPr>
                <w:t>400001, г</w:t>
              </w:r>
            </w:smartTag>
            <w:r w:rsidRPr="00F2598A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1053444090028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3445071523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6234EB" w:rsidRPr="00F2598A" w:rsidRDefault="006234EB" w:rsidP="00F55970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65103-</w:t>
            </w:r>
            <w:r w:rsidRPr="00F2598A">
              <w:rPr>
                <w:sz w:val="22"/>
                <w:szCs w:val="22"/>
                <w:lang w:val="en-US"/>
              </w:rPr>
              <w:t>D</w:t>
            </w:r>
          </w:p>
        </w:tc>
      </w:tr>
      <w:tr w:rsidR="006234EB" w:rsidRPr="00F2598A">
        <w:tc>
          <w:tcPr>
            <w:tcW w:w="5117" w:type="dxa"/>
          </w:tcPr>
          <w:p w:rsidR="006234EB" w:rsidRPr="00F2598A" w:rsidRDefault="006234EB">
            <w:pPr>
              <w:ind w:left="85" w:right="85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 xml:space="preserve">1.7. Адрес страницы в сети Интернет, используемой </w:t>
            </w:r>
            <w:r w:rsidRPr="00F2598A">
              <w:rPr>
                <w:color w:val="000000"/>
                <w:sz w:val="22"/>
                <w:szCs w:val="22"/>
              </w:rPr>
              <w:t>эмитентом</w:t>
            </w:r>
            <w:r w:rsidRPr="00F2598A">
              <w:rPr>
                <w:sz w:val="22"/>
                <w:szCs w:val="22"/>
              </w:rPr>
              <w:t xml:space="preserve"> для раскрытия информации</w:t>
            </w:r>
          </w:p>
        </w:tc>
        <w:tc>
          <w:tcPr>
            <w:tcW w:w="5117" w:type="dxa"/>
          </w:tcPr>
          <w:p w:rsidR="002D3709" w:rsidRPr="00E56AD8" w:rsidRDefault="002D3709" w:rsidP="002D3709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6234EB" w:rsidRPr="00F2598A" w:rsidRDefault="002D3709" w:rsidP="002D3709">
            <w:pPr>
              <w:ind w:right="85"/>
              <w:jc w:val="both"/>
              <w:rPr>
                <w:sz w:val="22"/>
                <w:szCs w:val="22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6234EB" w:rsidRPr="00F2598A" w:rsidRDefault="006234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6234EB" w:rsidRPr="00F2598A">
        <w:tc>
          <w:tcPr>
            <w:tcW w:w="10234" w:type="dxa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2. Содержание сообщения</w:t>
            </w:r>
          </w:p>
        </w:tc>
      </w:tr>
      <w:tr w:rsidR="006234EB" w:rsidRPr="00F2598A">
        <w:tc>
          <w:tcPr>
            <w:tcW w:w="10234" w:type="dxa"/>
          </w:tcPr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</w:t>
            </w:r>
            <w:r w:rsidRPr="00B610FB">
              <w:rPr>
                <w:bCs/>
                <w:sz w:val="24"/>
                <w:szCs w:val="24"/>
              </w:rPr>
              <w:t xml:space="preserve">полное фирменное наименование (для некоммерческой организации - наименование), место нахождения, ИНН (если применимо), ОГРН (если применимо) юридического лица или фамилия, имя, отчество физического лица, у которого прекращено право </w:t>
            </w:r>
            <w:proofErr w:type="gramStart"/>
            <w:r w:rsidRPr="00B610FB">
              <w:rPr>
                <w:bCs/>
                <w:sz w:val="24"/>
                <w:szCs w:val="24"/>
              </w:rPr>
              <w:t>распоряжаться</w:t>
            </w:r>
            <w:proofErr w:type="gramEnd"/>
            <w:r w:rsidRPr="00B610FB">
              <w:rPr>
                <w:bCs/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</w:t>
            </w:r>
            <w:r>
              <w:rPr>
                <w:bCs/>
                <w:sz w:val="24"/>
                <w:szCs w:val="24"/>
              </w:rPr>
              <w:t>яющие уставный капитал эмитента:</w:t>
            </w:r>
          </w:p>
          <w:p w:rsidR="002D3709" w:rsidRPr="00F2598A" w:rsidRDefault="002D3709" w:rsidP="002D3709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 Сергей Сергеевич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</w:t>
            </w:r>
            <w:r w:rsidRPr="00B610FB">
              <w:rPr>
                <w:bCs/>
                <w:sz w:val="24"/>
                <w:szCs w:val="24"/>
              </w:rPr>
              <w:t>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 (прямое распор</w:t>
            </w:r>
            <w:r>
              <w:rPr>
                <w:bCs/>
                <w:sz w:val="24"/>
                <w:szCs w:val="24"/>
              </w:rPr>
              <w:t>яжение; косвенное распоряжение):</w:t>
            </w:r>
          </w:p>
          <w:p w:rsidR="00B610FB" w:rsidRPr="00B610FB" w:rsidRDefault="00B610FB" w:rsidP="00B610FB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прямое</w:t>
            </w:r>
            <w:r w:rsidRPr="00F2598A">
              <w:rPr>
                <w:sz w:val="22"/>
                <w:szCs w:val="22"/>
              </w:rPr>
              <w:t xml:space="preserve"> распоряжение.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2.3 </w:t>
            </w:r>
            <w:r w:rsidRPr="00B610FB">
              <w:rPr>
                <w:bCs/>
                <w:sz w:val="24"/>
                <w:szCs w:val="24"/>
              </w:rPr>
              <w:t>в случае если оставшееся после прекращения у лица соответствующего права количество голосов, которым такое лицо имеет право косвенно распоряжаться, составляет 5 или более процентов общего количества голосов, приходящихся на голосующие акции (доли), составляющие уставный капитал эмитента, - последовательно все подконтрольные такому лицу организации (цепочка организаций, находящихся под прямым или косвенным контролем такого лица), через которых такое лицо имеет право косвенно</w:t>
            </w:r>
            <w:proofErr w:type="gramEnd"/>
            <w:r w:rsidRPr="00B610FB">
              <w:rPr>
                <w:bCs/>
                <w:sz w:val="24"/>
                <w:szCs w:val="24"/>
              </w:rPr>
              <w:t xml:space="preserve"> распоряжаться определенным количеством голосов, приходящихся на голосующие акции (доли), составляющие уставный капитал эмитента. При этом по каждой такой организации указываются полное фирменное наименование, место нахождения, ИНН (если пр</w:t>
            </w:r>
            <w:r>
              <w:rPr>
                <w:bCs/>
                <w:sz w:val="24"/>
                <w:szCs w:val="24"/>
              </w:rPr>
              <w:t>именимо), ОГРН (если применимо):</w:t>
            </w:r>
          </w:p>
          <w:p w:rsidR="00B610FB" w:rsidRP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неизвестно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</w:t>
            </w:r>
            <w:r w:rsidRPr="00B610FB">
              <w:rPr>
                <w:bCs/>
                <w:sz w:val="24"/>
                <w:szCs w:val="24"/>
              </w:rPr>
              <w:t>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 (самостоятельное распоряжение; совместн</w:t>
            </w:r>
            <w:r>
              <w:rPr>
                <w:bCs/>
                <w:sz w:val="24"/>
                <w:szCs w:val="24"/>
              </w:rPr>
              <w:t>ое распоряжение с иными лицами):</w:t>
            </w:r>
          </w:p>
          <w:p w:rsidR="00B610FB" w:rsidRPr="00B610FB" w:rsidRDefault="00B610FB" w:rsidP="00B610FB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самостоятельное распоряжение.</w:t>
            </w:r>
          </w:p>
          <w:p w:rsidR="00B610FB" w:rsidRDefault="00B610FB" w:rsidP="00133E8C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2.5 </w:t>
            </w:r>
            <w:r w:rsidRPr="00B610FB">
              <w:rPr>
                <w:bCs/>
                <w:sz w:val="24"/>
                <w:szCs w:val="24"/>
              </w:rPr>
              <w:t>в случае если оставшееся после прекращения у лица соответствующего права количество голосов, которым такое лицо имеет право распоряжаться совместно с иными лицами, составляет 5 или более процентов общего количества голосов, приходящихся на голосующие акции (доли), составляющие уставный капитал эмитента, - полное фирменное наименование (для некоммерческой организации - наименование), место нахождения, ИНН (если применимо), ОГРН (если применимо) каждого юридического лица или фамилия</w:t>
            </w:r>
            <w:proofErr w:type="gramEnd"/>
            <w:r w:rsidRPr="00B610FB">
              <w:rPr>
                <w:bCs/>
                <w:sz w:val="24"/>
                <w:szCs w:val="24"/>
              </w:rPr>
              <w:t>, имя, отчество каждого физического лица, совместно с которыми лицо имеет право распоряжаться определенным количеством голосов, приходящихся на голосующие акции (доли), составляющие уставный капитал эмитента</w:t>
            </w:r>
            <w:r>
              <w:rPr>
                <w:bCs/>
                <w:sz w:val="24"/>
                <w:szCs w:val="24"/>
              </w:rPr>
              <w:t>:</w:t>
            </w:r>
          </w:p>
          <w:p w:rsidR="00133E8C" w:rsidRPr="00B610FB" w:rsidRDefault="00133E8C" w:rsidP="00133E8C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неизвестно</w:t>
            </w:r>
          </w:p>
          <w:p w:rsidR="00B610FB" w:rsidRDefault="00B610FB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2.6. </w:t>
            </w:r>
            <w:r w:rsidRPr="00B610FB">
              <w:rPr>
                <w:bCs/>
                <w:sz w:val="24"/>
                <w:szCs w:val="24"/>
              </w:rPr>
              <w:t xml:space="preserve">основание, в силу которого у лица прекращено право распоряжаться определенным количеством голосов, приходящихся на голосующие акции (доли), составляющие уставный капитал эмитента (прекращение (снижение доли) участия в эмитенте; расторжение или прекращение по иным основаниям договора доверительного управления имуществом, договора </w:t>
            </w:r>
            <w:r w:rsidRPr="00B610FB">
              <w:rPr>
                <w:bCs/>
                <w:sz w:val="24"/>
                <w:szCs w:val="24"/>
              </w:rPr>
              <w:lastRenderedPageBreak/>
              <w:t>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</w:t>
            </w:r>
            <w:r>
              <w:rPr>
                <w:bCs/>
                <w:sz w:val="24"/>
                <w:szCs w:val="24"/>
              </w:rPr>
              <w:t>нных акциями (долями) эмитента):</w:t>
            </w:r>
            <w:proofErr w:type="gramEnd"/>
          </w:p>
          <w:p w:rsidR="00B610FB" w:rsidRPr="00B610FB" w:rsidRDefault="00133E8C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доли</w:t>
            </w:r>
            <w:r w:rsidR="00B610FB" w:rsidRPr="00B610FB">
              <w:rPr>
                <w:bCs/>
                <w:sz w:val="24"/>
                <w:szCs w:val="24"/>
              </w:rPr>
              <w:t xml:space="preserve"> участия в эмитенте</w:t>
            </w:r>
          </w:p>
          <w:p w:rsidR="00B610FB" w:rsidRDefault="003075BA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2.7 </w:t>
            </w:r>
            <w:r w:rsidR="00B610FB" w:rsidRPr="00B610FB">
              <w:rPr>
                <w:bCs/>
                <w:sz w:val="24"/>
                <w:szCs w:val="24"/>
              </w:rPr>
      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</w:t>
            </w:r>
            <w:r>
              <w:rPr>
                <w:bCs/>
                <w:sz w:val="24"/>
                <w:szCs w:val="24"/>
              </w:rPr>
              <w:t>ения соответствующего основания:</w:t>
            </w:r>
          </w:p>
          <w:p w:rsidR="002D3709" w:rsidRDefault="002D3709" w:rsidP="00B610FB">
            <w:pPr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55 964 914</w:t>
            </w:r>
            <w:r w:rsidRPr="00F2598A">
              <w:rPr>
                <w:sz w:val="22"/>
                <w:szCs w:val="22"/>
              </w:rPr>
              <w:t xml:space="preserve"> шт., </w:t>
            </w:r>
            <w:r>
              <w:rPr>
                <w:sz w:val="22"/>
                <w:szCs w:val="22"/>
              </w:rPr>
              <w:t>13,9879</w:t>
            </w:r>
            <w:r w:rsidRPr="00F2598A">
              <w:rPr>
                <w:sz w:val="22"/>
                <w:szCs w:val="22"/>
              </w:rPr>
              <w:t>%.</w:t>
            </w:r>
          </w:p>
          <w:p w:rsidR="00B610FB" w:rsidRDefault="003075BA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2.8 </w:t>
            </w:r>
            <w:r w:rsidR="00B610FB" w:rsidRPr="00B610FB">
              <w:rPr>
                <w:bCs/>
                <w:sz w:val="24"/>
                <w:szCs w:val="24"/>
              </w:rPr>
      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</w:t>
            </w:r>
            <w:r>
              <w:rPr>
                <w:bCs/>
                <w:sz w:val="24"/>
                <w:szCs w:val="24"/>
              </w:rPr>
              <w:t>ения соответствующего основания:</w:t>
            </w:r>
          </w:p>
          <w:p w:rsidR="003075BA" w:rsidRPr="003075BA" w:rsidRDefault="002D3709" w:rsidP="003075BA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610FB" w:rsidRPr="00B610FB" w:rsidRDefault="003075BA" w:rsidP="00B610FB">
            <w:pPr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2.9 </w:t>
            </w:r>
            <w:r w:rsidR="00B610FB" w:rsidRPr="00B610FB">
              <w:rPr>
                <w:bCs/>
                <w:sz w:val="24"/>
                <w:szCs w:val="24"/>
              </w:rPr>
              <w:t xml:space="preserve">дата наступления основания, в силу которого у лица прекращено право </w:t>
            </w:r>
            <w:proofErr w:type="gramStart"/>
            <w:r w:rsidR="00B610FB" w:rsidRPr="00B610FB">
              <w:rPr>
                <w:bCs/>
                <w:sz w:val="24"/>
                <w:szCs w:val="24"/>
              </w:rPr>
              <w:t>распоряжаться</w:t>
            </w:r>
            <w:proofErr w:type="gramEnd"/>
            <w:r w:rsidR="00B610FB" w:rsidRPr="00B610FB">
              <w:rPr>
                <w:bCs/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составляющие уставный капитал эмитента.</w:t>
            </w:r>
          </w:p>
          <w:p w:rsidR="00855F64" w:rsidRPr="00F2598A" w:rsidRDefault="003075BA" w:rsidP="00F2598A">
            <w:pPr>
              <w:adjustRightInd w:val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87BFD">
              <w:rPr>
                <w:sz w:val="22"/>
                <w:szCs w:val="22"/>
              </w:rPr>
              <w:t>еизвестно.</w:t>
            </w:r>
          </w:p>
        </w:tc>
      </w:tr>
    </w:tbl>
    <w:p w:rsidR="006234EB" w:rsidRPr="00F2598A" w:rsidRDefault="006234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6234EB" w:rsidRPr="00F2598A" w:rsidTr="00F2598A">
        <w:trPr>
          <w:cantSplit/>
        </w:trPr>
        <w:tc>
          <w:tcPr>
            <w:tcW w:w="10235" w:type="dxa"/>
            <w:gridSpan w:val="11"/>
            <w:tcBorders>
              <w:bottom w:val="single" w:sz="4" w:space="0" w:color="auto"/>
            </w:tcBorders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3. Подпись</w:t>
            </w:r>
          </w:p>
        </w:tc>
      </w:tr>
      <w:tr w:rsidR="006234EB" w:rsidRPr="00F25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D1A66" w:rsidRDefault="006234EB">
            <w:pPr>
              <w:ind w:left="57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 xml:space="preserve">3.1. </w:t>
            </w:r>
            <w:r w:rsidR="003D1A66">
              <w:rPr>
                <w:sz w:val="22"/>
                <w:szCs w:val="22"/>
              </w:rPr>
              <w:t>Генеральный директор</w:t>
            </w:r>
          </w:p>
          <w:p w:rsidR="00BB6FF7" w:rsidRPr="00F2598A" w:rsidRDefault="00055EC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479B4" w:rsidRPr="00F2598A">
              <w:rPr>
                <w:sz w:val="22"/>
                <w:szCs w:val="22"/>
              </w:rPr>
              <w:t>АО «Волгоградэнергосбыт»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34EB" w:rsidRPr="00F2598A" w:rsidRDefault="00055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</w:tr>
      <w:tr w:rsidR="006234EB" w:rsidRPr="00F25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4EB" w:rsidRPr="00F2598A" w:rsidRDefault="006234E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</w:tr>
      <w:tr w:rsidR="006234EB" w:rsidRPr="00F2598A" w:rsidTr="00F25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ind w:left="57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1E51EF" w:rsidRDefault="00055EC4" w:rsidP="001E51E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</w:t>
            </w:r>
            <w:r w:rsidR="002D3709">
              <w:rPr>
                <w:sz w:val="22"/>
                <w:szCs w:val="22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762497" w:rsidRDefault="00307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jc w:val="right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1</w:t>
            </w:r>
            <w:r w:rsidR="002D3709">
              <w:rPr>
                <w:sz w:val="22"/>
                <w:szCs w:val="22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ind w:left="57"/>
              <w:rPr>
                <w:sz w:val="22"/>
                <w:szCs w:val="22"/>
              </w:rPr>
            </w:pPr>
            <w:proofErr w:type="gramStart"/>
            <w:r w:rsidRPr="00F2598A">
              <w:rPr>
                <w:sz w:val="22"/>
                <w:szCs w:val="22"/>
              </w:rPr>
              <w:t>г</w:t>
            </w:r>
            <w:proofErr w:type="gramEnd"/>
            <w:r w:rsidRPr="00F2598A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4EB" w:rsidRPr="00F2598A" w:rsidRDefault="006234EB">
            <w:pPr>
              <w:jc w:val="center"/>
              <w:rPr>
                <w:sz w:val="22"/>
                <w:szCs w:val="22"/>
              </w:rPr>
            </w:pPr>
            <w:r w:rsidRPr="00F2598A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34EB" w:rsidRPr="00F2598A" w:rsidRDefault="006234EB">
            <w:pPr>
              <w:rPr>
                <w:sz w:val="22"/>
                <w:szCs w:val="22"/>
              </w:rPr>
            </w:pPr>
          </w:p>
        </w:tc>
      </w:tr>
    </w:tbl>
    <w:p w:rsidR="006234EB" w:rsidRDefault="006234EB">
      <w:pPr>
        <w:rPr>
          <w:sz w:val="24"/>
          <w:szCs w:val="24"/>
        </w:rPr>
      </w:pPr>
    </w:p>
    <w:sectPr w:rsidR="006234EB" w:rsidSect="001578C8">
      <w:headerReference w:type="default" r:id="rId8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C4" w:rsidRDefault="00055EC4" w:rsidP="00CE18AB">
      <w:pPr>
        <w:pStyle w:val="a3"/>
      </w:pPr>
      <w:r>
        <w:separator/>
      </w:r>
    </w:p>
  </w:endnote>
  <w:endnote w:type="continuationSeparator" w:id="0">
    <w:p w:rsidR="00055EC4" w:rsidRDefault="00055EC4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C4" w:rsidRDefault="00055EC4" w:rsidP="00CE18AB">
      <w:pPr>
        <w:pStyle w:val="a3"/>
      </w:pPr>
      <w:r>
        <w:separator/>
      </w:r>
    </w:p>
  </w:footnote>
  <w:footnote w:type="continuationSeparator" w:id="0">
    <w:p w:rsidR="00055EC4" w:rsidRDefault="00055EC4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C4" w:rsidRDefault="00055EC4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044"/>
    <w:multiLevelType w:val="multilevel"/>
    <w:tmpl w:val="603E9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5D04DE"/>
    <w:multiLevelType w:val="hybridMultilevel"/>
    <w:tmpl w:val="3650EE36"/>
    <w:lvl w:ilvl="0" w:tplc="3D62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55EC4"/>
    <w:rsid w:val="00055FD2"/>
    <w:rsid w:val="00057F98"/>
    <w:rsid w:val="00060A2D"/>
    <w:rsid w:val="00071B5A"/>
    <w:rsid w:val="00077423"/>
    <w:rsid w:val="0008194B"/>
    <w:rsid w:val="00093819"/>
    <w:rsid w:val="000A2386"/>
    <w:rsid w:val="000A2C34"/>
    <w:rsid w:val="000B4CD6"/>
    <w:rsid w:val="000C5824"/>
    <w:rsid w:val="000F04FF"/>
    <w:rsid w:val="00105664"/>
    <w:rsid w:val="00110EB6"/>
    <w:rsid w:val="001215FC"/>
    <w:rsid w:val="001230CA"/>
    <w:rsid w:val="0013211F"/>
    <w:rsid w:val="00133E8C"/>
    <w:rsid w:val="001578C8"/>
    <w:rsid w:val="00163BBF"/>
    <w:rsid w:val="00180D91"/>
    <w:rsid w:val="00183C8A"/>
    <w:rsid w:val="001A5AA5"/>
    <w:rsid w:val="001B4ED7"/>
    <w:rsid w:val="001B7629"/>
    <w:rsid w:val="001C2A8B"/>
    <w:rsid w:val="001E51EF"/>
    <w:rsid w:val="001F2627"/>
    <w:rsid w:val="00201138"/>
    <w:rsid w:val="00221730"/>
    <w:rsid w:val="00242488"/>
    <w:rsid w:val="0025035D"/>
    <w:rsid w:val="00265856"/>
    <w:rsid w:val="0027156F"/>
    <w:rsid w:val="0027736A"/>
    <w:rsid w:val="002D3709"/>
    <w:rsid w:val="002D7294"/>
    <w:rsid w:val="003075BA"/>
    <w:rsid w:val="00310576"/>
    <w:rsid w:val="00311ECC"/>
    <w:rsid w:val="00341A8E"/>
    <w:rsid w:val="00350610"/>
    <w:rsid w:val="003621F2"/>
    <w:rsid w:val="00366FE7"/>
    <w:rsid w:val="00397571"/>
    <w:rsid w:val="003D1A66"/>
    <w:rsid w:val="003E1734"/>
    <w:rsid w:val="00410366"/>
    <w:rsid w:val="0042272E"/>
    <w:rsid w:val="00494914"/>
    <w:rsid w:val="004E2DEB"/>
    <w:rsid w:val="004E695D"/>
    <w:rsid w:val="00514F82"/>
    <w:rsid w:val="00523106"/>
    <w:rsid w:val="00525E1A"/>
    <w:rsid w:val="00537F27"/>
    <w:rsid w:val="00577F16"/>
    <w:rsid w:val="005B4442"/>
    <w:rsid w:val="005E1B66"/>
    <w:rsid w:val="005F5860"/>
    <w:rsid w:val="00615897"/>
    <w:rsid w:val="006234EB"/>
    <w:rsid w:val="006479B4"/>
    <w:rsid w:val="00681237"/>
    <w:rsid w:val="006D07F7"/>
    <w:rsid w:val="006F0771"/>
    <w:rsid w:val="007127F1"/>
    <w:rsid w:val="00714E6E"/>
    <w:rsid w:val="00736BA5"/>
    <w:rsid w:val="007613F7"/>
    <w:rsid w:val="00762497"/>
    <w:rsid w:val="00765328"/>
    <w:rsid w:val="007770D5"/>
    <w:rsid w:val="00785EA0"/>
    <w:rsid w:val="007E2860"/>
    <w:rsid w:val="0080535B"/>
    <w:rsid w:val="00824CB4"/>
    <w:rsid w:val="00855F64"/>
    <w:rsid w:val="00856E16"/>
    <w:rsid w:val="0086408A"/>
    <w:rsid w:val="00883807"/>
    <w:rsid w:val="008A6C09"/>
    <w:rsid w:val="008E5748"/>
    <w:rsid w:val="00900109"/>
    <w:rsid w:val="00915651"/>
    <w:rsid w:val="0094060D"/>
    <w:rsid w:val="00955B17"/>
    <w:rsid w:val="00997135"/>
    <w:rsid w:val="009B66B4"/>
    <w:rsid w:val="009B7379"/>
    <w:rsid w:val="009E3728"/>
    <w:rsid w:val="00A2573C"/>
    <w:rsid w:val="00A30222"/>
    <w:rsid w:val="00A43CAF"/>
    <w:rsid w:val="00A83B64"/>
    <w:rsid w:val="00A87BFD"/>
    <w:rsid w:val="00AA70F9"/>
    <w:rsid w:val="00AA78C3"/>
    <w:rsid w:val="00AB6648"/>
    <w:rsid w:val="00AC5312"/>
    <w:rsid w:val="00AC5986"/>
    <w:rsid w:val="00AD4D95"/>
    <w:rsid w:val="00AE7F05"/>
    <w:rsid w:val="00B16865"/>
    <w:rsid w:val="00B41505"/>
    <w:rsid w:val="00B610FB"/>
    <w:rsid w:val="00B658AE"/>
    <w:rsid w:val="00B70F70"/>
    <w:rsid w:val="00B94ACB"/>
    <w:rsid w:val="00BB6964"/>
    <w:rsid w:val="00BB6FF7"/>
    <w:rsid w:val="00BC6CB1"/>
    <w:rsid w:val="00BE12D8"/>
    <w:rsid w:val="00C115BD"/>
    <w:rsid w:val="00C2747E"/>
    <w:rsid w:val="00C3470B"/>
    <w:rsid w:val="00C557AD"/>
    <w:rsid w:val="00C57038"/>
    <w:rsid w:val="00C76E45"/>
    <w:rsid w:val="00C9423F"/>
    <w:rsid w:val="00CC4E2D"/>
    <w:rsid w:val="00CE18AB"/>
    <w:rsid w:val="00D22258"/>
    <w:rsid w:val="00D2279F"/>
    <w:rsid w:val="00D3392F"/>
    <w:rsid w:val="00D564D2"/>
    <w:rsid w:val="00D60C93"/>
    <w:rsid w:val="00D969B6"/>
    <w:rsid w:val="00DB0699"/>
    <w:rsid w:val="00DC6E76"/>
    <w:rsid w:val="00DF2885"/>
    <w:rsid w:val="00DF5FE9"/>
    <w:rsid w:val="00E0592A"/>
    <w:rsid w:val="00E25F42"/>
    <w:rsid w:val="00E31F8B"/>
    <w:rsid w:val="00E44836"/>
    <w:rsid w:val="00E5085A"/>
    <w:rsid w:val="00E6506F"/>
    <w:rsid w:val="00E86E63"/>
    <w:rsid w:val="00E91807"/>
    <w:rsid w:val="00F22AE5"/>
    <w:rsid w:val="00F2598A"/>
    <w:rsid w:val="00F26991"/>
    <w:rsid w:val="00F334AF"/>
    <w:rsid w:val="00F55970"/>
    <w:rsid w:val="00F7268F"/>
    <w:rsid w:val="00F83659"/>
    <w:rsid w:val="00F905CA"/>
    <w:rsid w:val="00F972C8"/>
    <w:rsid w:val="00F97D8E"/>
    <w:rsid w:val="00FC13D4"/>
    <w:rsid w:val="00FC18DD"/>
    <w:rsid w:val="00FC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11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4634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2014-03-04T12:55:00Z</cp:lastPrinted>
  <dcterms:created xsi:type="dcterms:W3CDTF">2018-06-26T06:53:00Z</dcterms:created>
  <dcterms:modified xsi:type="dcterms:W3CDTF">2018-06-26T06:53:00Z</dcterms:modified>
</cp:coreProperties>
</file>